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9D" w:rsidRDefault="009E0861" w:rsidP="0013161C">
      <w:pPr>
        <w:tabs>
          <w:tab w:val="left" w:pos="1843"/>
        </w:tabs>
        <w:spacing w:after="240" w:line="360" w:lineRule="auto"/>
        <w:jc w:val="both"/>
        <w:rPr>
          <w:rFonts w:ascii="Palatino Linotype" w:hAnsi="Palatino Linotype" w:cs="Tahoma"/>
          <w:b/>
          <w:bCs/>
          <w:lang w:val="es-ES_tradnl"/>
        </w:rPr>
      </w:pPr>
      <w:r w:rsidRPr="00674E46">
        <w:rPr>
          <w:rFonts w:ascii="Palatino Linotype" w:hAnsi="Palatino Linotype" w:cs="Tahoma"/>
          <w:b/>
        </w:rPr>
        <w:t xml:space="preserve">VOTO PARTICULAR QUE FORMULA EL COMISIONADO LUIS GUSTAVO PARRA NORIEGA, </w:t>
      </w:r>
      <w:r w:rsidR="00430B64">
        <w:rPr>
          <w:rFonts w:ascii="Palatino Linotype" w:hAnsi="Palatino Linotype" w:cs="Tahoma"/>
          <w:b/>
        </w:rPr>
        <w:t>A</w:t>
      </w:r>
      <w:r w:rsidRPr="00674E46">
        <w:rPr>
          <w:rFonts w:ascii="Palatino Linotype" w:hAnsi="Palatino Linotype" w:cs="Tahoma"/>
          <w:b/>
        </w:rPr>
        <w:t xml:space="preserve"> LA RESOLUCIÓN DEL RECURSO DE REVISIÓN </w:t>
      </w:r>
      <w:r w:rsidR="00B64EEB">
        <w:rPr>
          <w:rFonts w:ascii="Palatino Linotype" w:hAnsi="Palatino Linotype" w:cs="Tahoma"/>
          <w:b/>
        </w:rPr>
        <w:t>00807</w:t>
      </w:r>
      <w:r w:rsidR="00695194">
        <w:rPr>
          <w:rFonts w:ascii="Palatino Linotype" w:hAnsi="Palatino Linotype" w:cs="Tahoma"/>
          <w:b/>
        </w:rPr>
        <w:t>/INFOEM/IP/RR/2019</w:t>
      </w:r>
      <w:r w:rsidRPr="00674E46">
        <w:rPr>
          <w:rFonts w:ascii="Palatino Linotype" w:hAnsi="Palatino Linotype" w:cs="Tahoma"/>
          <w:b/>
          <w:caps/>
        </w:rPr>
        <w:t>,</w:t>
      </w:r>
      <w:r w:rsidRPr="00674E46">
        <w:rPr>
          <w:rFonts w:ascii="Palatino Linotype" w:hAnsi="Palatino Linotype" w:cs="Tahoma"/>
          <w:b/>
        </w:rPr>
        <w:t xml:space="preserve"> PROMOVIDO EN </w:t>
      </w:r>
      <w:r w:rsidR="00792848" w:rsidRPr="00674E46">
        <w:rPr>
          <w:rFonts w:ascii="Palatino Linotype" w:hAnsi="Palatino Linotype" w:cs="Tahoma"/>
          <w:b/>
        </w:rPr>
        <w:t>CONTRA DE</w:t>
      </w:r>
      <w:r w:rsidR="00695194">
        <w:rPr>
          <w:rFonts w:ascii="Palatino Linotype" w:hAnsi="Palatino Linotype" w:cs="Tahoma"/>
          <w:b/>
        </w:rPr>
        <w:t>L</w:t>
      </w:r>
      <w:r w:rsidR="008E7553">
        <w:rPr>
          <w:rFonts w:ascii="Palatino Linotype" w:hAnsi="Palatino Linotype" w:cs="Tahoma"/>
          <w:b/>
        </w:rPr>
        <w:t xml:space="preserve"> </w:t>
      </w:r>
      <w:r w:rsidR="00B64EEB" w:rsidRPr="00B64EEB">
        <w:rPr>
          <w:rFonts w:ascii="Palatino Linotype" w:hAnsi="Palatino Linotype" w:cs="Tahoma"/>
          <w:b/>
          <w:bCs/>
          <w:lang w:val="es-MX"/>
        </w:rPr>
        <w:t>AYUNTAMIENTO DE POLOTITLÁN</w:t>
      </w:r>
      <w:r w:rsidR="00B64EEB">
        <w:rPr>
          <w:rFonts w:ascii="Palatino Linotype" w:hAnsi="Palatino Linotype" w:cs="Tahoma"/>
          <w:b/>
          <w:bCs/>
          <w:lang w:val="es-ES_tradnl"/>
        </w:rPr>
        <w:t>.</w:t>
      </w:r>
    </w:p>
    <w:p w:rsidR="00695194" w:rsidRPr="00674E46" w:rsidRDefault="00695194" w:rsidP="00495D99">
      <w:pPr>
        <w:tabs>
          <w:tab w:val="left" w:pos="6150"/>
        </w:tabs>
        <w:spacing w:after="0" w:line="360" w:lineRule="auto"/>
        <w:jc w:val="both"/>
        <w:rPr>
          <w:rFonts w:ascii="Palatino Linotype" w:hAnsi="Palatino Linotype" w:cs="Tahoma"/>
        </w:rPr>
      </w:pPr>
    </w:p>
    <w:p w:rsidR="009E0861" w:rsidRPr="00674E46" w:rsidRDefault="009E0861" w:rsidP="00495D99">
      <w:pPr>
        <w:spacing w:after="0" w:line="360" w:lineRule="auto"/>
        <w:jc w:val="both"/>
        <w:rPr>
          <w:rFonts w:ascii="Palatino Linotype" w:hAnsi="Palatino Linotype" w:cs="Tahoma"/>
        </w:rPr>
      </w:pPr>
      <w:r w:rsidRPr="00674E46">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74E46">
        <w:rPr>
          <w:rFonts w:ascii="Palatino Linotype" w:hAnsi="Palatino Linotype" w:cs="Tahoma"/>
          <w:b/>
        </w:rPr>
        <w:t>Voto Particular</w:t>
      </w:r>
      <w:r w:rsidRPr="00674E46">
        <w:rPr>
          <w:rFonts w:ascii="Palatino Linotype" w:hAnsi="Palatino Linotype" w:cs="Tahoma"/>
        </w:rPr>
        <w:t xml:space="preserve"> por no compartir en su totalidad las consideraciones que sustentan la Resolución del Recurso de Revisión </w:t>
      </w:r>
      <w:r w:rsidR="00B64EEB">
        <w:rPr>
          <w:rFonts w:ascii="Palatino Linotype" w:hAnsi="Palatino Linotype" w:cs="Tahoma"/>
          <w:b/>
        </w:rPr>
        <w:t>00807</w:t>
      </w:r>
      <w:r w:rsidR="002F08A6" w:rsidRPr="00674E46">
        <w:rPr>
          <w:rFonts w:ascii="Palatino Linotype" w:hAnsi="Palatino Linotype" w:cs="Tahoma"/>
          <w:b/>
        </w:rPr>
        <w:t>/INFOEM/IP/R</w:t>
      </w:r>
      <w:r w:rsidR="00695194">
        <w:rPr>
          <w:rFonts w:ascii="Palatino Linotype" w:hAnsi="Palatino Linotype" w:cs="Tahoma"/>
          <w:b/>
        </w:rPr>
        <w:t>R/2019</w:t>
      </w:r>
      <w:r w:rsidR="00104333" w:rsidRPr="00674E46">
        <w:rPr>
          <w:rFonts w:ascii="Palatino Linotype" w:hAnsi="Palatino Linotype" w:cs="Tahoma"/>
        </w:rPr>
        <w:t>.</w:t>
      </w:r>
    </w:p>
    <w:p w:rsidR="009E0861" w:rsidRPr="00674E46" w:rsidRDefault="009E0861" w:rsidP="00495D99">
      <w:pPr>
        <w:spacing w:after="0" w:line="360" w:lineRule="auto"/>
        <w:jc w:val="both"/>
        <w:rPr>
          <w:rFonts w:ascii="Palatino Linotype" w:hAnsi="Palatino Linotype" w:cs="Tahoma"/>
        </w:rPr>
      </w:pPr>
    </w:p>
    <w:p w:rsidR="00B64EEB" w:rsidRDefault="00B64EEB" w:rsidP="00495D99">
      <w:pPr>
        <w:spacing w:after="0" w:line="360" w:lineRule="auto"/>
        <w:jc w:val="both"/>
        <w:rPr>
          <w:rFonts w:ascii="Palatino Linotype" w:hAnsi="Palatino Linotype" w:cs="Arial"/>
        </w:rPr>
      </w:pPr>
      <w:r w:rsidRPr="005D01A5">
        <w:rPr>
          <w:rFonts w:ascii="Palatino Linotype" w:hAnsi="Palatino Linotype" w:cs="Arial"/>
        </w:rPr>
        <w:t>Al respecto, coincido con el estudio realizado por la Ponencia Resolutora así como el sentido de la R</w:t>
      </w:r>
      <w:r w:rsidR="003F5DD4">
        <w:rPr>
          <w:rFonts w:ascii="Palatino Linotype" w:hAnsi="Palatino Linotype" w:cs="Arial"/>
        </w:rPr>
        <w:t>esolución;</w:t>
      </w:r>
      <w:r w:rsidRPr="005D01A5">
        <w:rPr>
          <w:rFonts w:ascii="Palatino Linotype" w:hAnsi="Palatino Linotype" w:cs="Arial"/>
        </w:rPr>
        <w:t xml:space="preserve"> </w:t>
      </w:r>
      <w:r w:rsidR="003F5DD4">
        <w:rPr>
          <w:rFonts w:ascii="Palatino Linotype" w:hAnsi="Palatino Linotype" w:cs="Arial"/>
        </w:rPr>
        <w:t>sin embargo, considero</w:t>
      </w:r>
      <w:r w:rsidRPr="005D01A5">
        <w:rPr>
          <w:rFonts w:ascii="Palatino Linotype" w:hAnsi="Palatino Linotype" w:cs="Arial"/>
        </w:rPr>
        <w:t xml:space="preserve"> </w:t>
      </w:r>
      <w:r>
        <w:rPr>
          <w:rFonts w:ascii="Palatino Linotype" w:hAnsi="Palatino Linotype" w:cs="Arial"/>
        </w:rPr>
        <w:t>que dentro de la información que se orden</w:t>
      </w:r>
      <w:r w:rsidR="003F5DD4">
        <w:rPr>
          <w:rFonts w:ascii="Palatino Linotype" w:hAnsi="Palatino Linotype" w:cs="Arial"/>
        </w:rPr>
        <w:t xml:space="preserve">ó entregar debió incluirse </w:t>
      </w:r>
      <w:r>
        <w:rPr>
          <w:rFonts w:ascii="Palatino Linotype" w:hAnsi="Palatino Linotype" w:cs="Arial"/>
        </w:rPr>
        <w:t>el tabulador del Sistema Municipal para el Desarrollo Integral de la Familia correspondiente al año dos mil quince</w:t>
      </w:r>
      <w:r w:rsidR="003F5DD4">
        <w:rPr>
          <w:rFonts w:ascii="Palatino Linotype" w:hAnsi="Palatino Linotype" w:cs="Arial"/>
        </w:rPr>
        <w:t>; ello en virtud de lo siguiente:</w:t>
      </w:r>
    </w:p>
    <w:p w:rsidR="003F5DD4" w:rsidRDefault="003F5DD4" w:rsidP="00495D99">
      <w:pPr>
        <w:spacing w:after="0" w:line="360" w:lineRule="auto"/>
        <w:jc w:val="both"/>
        <w:rPr>
          <w:rFonts w:ascii="Palatino Linotype" w:hAnsi="Palatino Linotype" w:cs="Arial"/>
        </w:rPr>
      </w:pPr>
    </w:p>
    <w:p w:rsidR="003F5DD4" w:rsidRDefault="003F5DD4" w:rsidP="00495D99">
      <w:pPr>
        <w:spacing w:after="0" w:line="360" w:lineRule="auto"/>
        <w:jc w:val="both"/>
        <w:rPr>
          <w:rFonts w:ascii="Palatino Linotype" w:hAnsi="Palatino Linotype" w:cs="Arial"/>
        </w:rPr>
      </w:pPr>
      <w:r>
        <w:rPr>
          <w:rFonts w:ascii="Palatino Linotype" w:hAnsi="Palatino Linotype" w:cs="Arial"/>
        </w:rPr>
        <w:t>En la solicitud de acceso a la información presentada por el Particular, precisa en el numeral 1, requerir:</w:t>
      </w:r>
    </w:p>
    <w:p w:rsidR="0013161C" w:rsidRDefault="0013161C" w:rsidP="00495D99">
      <w:pPr>
        <w:spacing w:after="0" w:line="360" w:lineRule="auto"/>
        <w:jc w:val="both"/>
        <w:rPr>
          <w:rFonts w:ascii="Palatino Linotype" w:hAnsi="Palatino Linotype" w:cs="Arial"/>
        </w:rPr>
      </w:pPr>
    </w:p>
    <w:p w:rsidR="003F5DD4" w:rsidRDefault="003F5DD4" w:rsidP="00495D99">
      <w:pPr>
        <w:spacing w:after="0" w:line="360" w:lineRule="auto"/>
        <w:ind w:left="567" w:right="567"/>
        <w:jc w:val="both"/>
        <w:rPr>
          <w:rFonts w:ascii="Palatino Linotype" w:hAnsi="Palatino Linotype" w:cs="Arial"/>
          <w:i/>
          <w:sz w:val="20"/>
        </w:rPr>
      </w:pPr>
      <w:r w:rsidRPr="003F5DD4">
        <w:rPr>
          <w:rFonts w:ascii="Palatino Linotype" w:hAnsi="Palatino Linotype" w:cs="Arial"/>
          <w:i/>
          <w:sz w:val="20"/>
        </w:rPr>
        <w:lastRenderedPageBreak/>
        <w:t>1.- Tabulador de sueldos de todos los servidores públicos del Ayuntamiento y el Sistema DIF de la administración 2015-2018</w:t>
      </w:r>
      <w:r>
        <w:rPr>
          <w:rFonts w:ascii="Palatino Linotype" w:hAnsi="Palatino Linotype" w:cs="Arial"/>
          <w:i/>
          <w:sz w:val="20"/>
        </w:rPr>
        <w:t>.</w:t>
      </w:r>
    </w:p>
    <w:p w:rsidR="0013161C" w:rsidRPr="003F5DD4" w:rsidRDefault="0013161C" w:rsidP="00495D99">
      <w:pPr>
        <w:spacing w:after="0" w:line="360" w:lineRule="auto"/>
        <w:ind w:left="567" w:right="567"/>
        <w:jc w:val="both"/>
        <w:rPr>
          <w:rFonts w:ascii="Palatino Linotype" w:hAnsi="Palatino Linotype" w:cs="Arial"/>
          <w:sz w:val="20"/>
        </w:rPr>
      </w:pPr>
    </w:p>
    <w:p w:rsidR="00B64EEB" w:rsidRDefault="00550B20" w:rsidP="00495D99">
      <w:pPr>
        <w:spacing w:after="0" w:line="360" w:lineRule="auto"/>
        <w:jc w:val="both"/>
        <w:rPr>
          <w:rFonts w:ascii="Palatino Linotype" w:hAnsi="Palatino Linotype" w:cs="Tahoma"/>
        </w:rPr>
      </w:pPr>
      <w:r>
        <w:rPr>
          <w:rFonts w:ascii="Palatino Linotype" w:hAnsi="Palatino Linotype" w:cs="Tahoma"/>
        </w:rPr>
        <w:t>De lo anterior, se advierte que el Particular es claro en señalar el periodo d</w:t>
      </w:r>
      <w:r w:rsidR="00297CF8">
        <w:rPr>
          <w:rFonts w:ascii="Palatino Linotype" w:hAnsi="Palatino Linotype" w:cs="Tahoma"/>
        </w:rPr>
        <w:t>el cual requiere la información;</w:t>
      </w:r>
      <w:r>
        <w:rPr>
          <w:rFonts w:ascii="Palatino Linotype" w:hAnsi="Palatino Linotype" w:cs="Tahoma"/>
        </w:rPr>
        <w:t xml:space="preserve"> esto es, de los años dos mil quince, dos mil dieciséis, dos mil diecisiete y dos mil dieciocho.</w:t>
      </w:r>
    </w:p>
    <w:p w:rsidR="00550B20" w:rsidRDefault="00550B20" w:rsidP="00495D99">
      <w:pPr>
        <w:spacing w:after="0" w:line="360" w:lineRule="auto"/>
        <w:jc w:val="both"/>
        <w:rPr>
          <w:rFonts w:ascii="Palatino Linotype" w:hAnsi="Palatino Linotype" w:cs="Tahoma"/>
        </w:rPr>
      </w:pPr>
    </w:p>
    <w:p w:rsidR="00550B20" w:rsidRDefault="00550B20" w:rsidP="00495D99">
      <w:pPr>
        <w:spacing w:after="0" w:line="360" w:lineRule="auto"/>
        <w:jc w:val="both"/>
        <w:rPr>
          <w:rFonts w:ascii="Palatino Linotype" w:hAnsi="Palatino Linotype" w:cs="Arial"/>
        </w:rPr>
      </w:pPr>
      <w:r>
        <w:rPr>
          <w:rFonts w:ascii="Palatino Linotype" w:hAnsi="Palatino Linotype" w:cs="Tahoma"/>
        </w:rPr>
        <w:t xml:space="preserve">Ahora bien, es oportuno señalar que en el Recurso de Revisión interpuesto por el Particular, </w:t>
      </w:r>
      <w:r w:rsidR="00297CF8">
        <w:rPr>
          <w:rFonts w:ascii="Palatino Linotype" w:hAnsi="Palatino Linotype" w:cs="Tahoma"/>
        </w:rPr>
        <w:t>e</w:t>
      </w:r>
      <w:r>
        <w:rPr>
          <w:rFonts w:ascii="Palatino Linotype" w:hAnsi="Palatino Linotype" w:cs="Tahoma"/>
        </w:rPr>
        <w:t>ste no se inconform</w:t>
      </w:r>
      <w:r w:rsidR="00297CF8">
        <w:rPr>
          <w:rFonts w:ascii="Palatino Linotype" w:hAnsi="Palatino Linotype" w:cs="Tahoma"/>
        </w:rPr>
        <w:t>ó</w:t>
      </w:r>
      <w:r>
        <w:rPr>
          <w:rFonts w:ascii="Palatino Linotype" w:hAnsi="Palatino Linotype" w:cs="Tahoma"/>
        </w:rPr>
        <w:t xml:space="preserve"> por la entrega del tabulador del </w:t>
      </w:r>
      <w:r>
        <w:rPr>
          <w:rFonts w:ascii="Palatino Linotype" w:hAnsi="Palatino Linotype" w:cs="Arial"/>
        </w:rPr>
        <w:t>Sistema Municipal para el Desarrollo Integral de la Familia</w:t>
      </w:r>
      <w:r w:rsidR="0079563C">
        <w:rPr>
          <w:rFonts w:ascii="Palatino Linotype" w:hAnsi="Palatino Linotype" w:cs="Arial"/>
        </w:rPr>
        <w:t xml:space="preserve">, por lo cual, desde el punto de vista del suscrito, el citado requerimiento debió tratarse como actos consentidos y no abordar su análisis. </w:t>
      </w:r>
    </w:p>
    <w:p w:rsidR="0079563C" w:rsidRDefault="0079563C" w:rsidP="00495D99">
      <w:pPr>
        <w:spacing w:after="0" w:line="360" w:lineRule="auto"/>
        <w:jc w:val="both"/>
        <w:rPr>
          <w:rFonts w:ascii="Palatino Linotype" w:hAnsi="Palatino Linotype" w:cs="Arial"/>
        </w:rPr>
      </w:pPr>
    </w:p>
    <w:p w:rsidR="0079563C" w:rsidRDefault="0079563C" w:rsidP="00495D99">
      <w:pPr>
        <w:spacing w:after="0" w:line="360" w:lineRule="auto"/>
        <w:jc w:val="both"/>
        <w:rPr>
          <w:rFonts w:ascii="Palatino Linotype" w:hAnsi="Palatino Linotype" w:cs="Arial"/>
        </w:rPr>
      </w:pPr>
      <w:r>
        <w:rPr>
          <w:rFonts w:ascii="Palatino Linotype" w:hAnsi="Palatino Linotype" w:cs="Arial"/>
        </w:rPr>
        <w:t>No obstante, si el Comisionado Ponente optó por analizar la solicitud íntegra y estudiar cada uno de los puntos requeridos, debió considerar la entrega de la información de los periodos precisados por el Recurrente.</w:t>
      </w:r>
    </w:p>
    <w:p w:rsidR="0079563C" w:rsidRDefault="0079563C" w:rsidP="00495D99">
      <w:pPr>
        <w:spacing w:after="0" w:line="360" w:lineRule="auto"/>
        <w:jc w:val="both"/>
        <w:rPr>
          <w:rFonts w:ascii="Palatino Linotype" w:hAnsi="Palatino Linotype" w:cs="Arial"/>
        </w:rPr>
      </w:pPr>
    </w:p>
    <w:p w:rsidR="00495D99" w:rsidRDefault="0079563C" w:rsidP="00495D99">
      <w:pPr>
        <w:spacing w:after="0" w:line="360" w:lineRule="auto"/>
        <w:jc w:val="both"/>
        <w:rPr>
          <w:rFonts w:ascii="Palatino Linotype" w:hAnsi="Palatino Linotype" w:cs="Tahoma"/>
          <w:lang w:val="es-MX"/>
        </w:rPr>
      </w:pPr>
      <w:r>
        <w:rPr>
          <w:rFonts w:ascii="Palatino Linotype" w:hAnsi="Palatino Linotype" w:cs="Tahoma"/>
        </w:rPr>
        <w:t>Lo anterior, debido a que e</w:t>
      </w:r>
      <w:r w:rsidR="00ED7D75">
        <w:rPr>
          <w:rFonts w:ascii="Palatino Linotype" w:hAnsi="Palatino Linotype" w:cs="Tahoma"/>
        </w:rPr>
        <w:t xml:space="preserve">n el estudio realizado por la </w:t>
      </w:r>
      <w:r w:rsidR="00B50C36" w:rsidRPr="00674E46">
        <w:rPr>
          <w:rFonts w:ascii="Palatino Linotype" w:hAnsi="Palatino Linotype" w:cs="Tahoma"/>
        </w:rPr>
        <w:t>P</w:t>
      </w:r>
      <w:r w:rsidR="009C4759">
        <w:rPr>
          <w:rFonts w:ascii="Palatino Linotype" w:hAnsi="Palatino Linotype" w:cs="Tahoma"/>
        </w:rPr>
        <w:t xml:space="preserve">onencia Resolutora </w:t>
      </w:r>
      <w:r w:rsidR="00ED7D75">
        <w:rPr>
          <w:rFonts w:ascii="Palatino Linotype" w:hAnsi="Palatino Linotype" w:cs="Tahoma"/>
        </w:rPr>
        <w:t xml:space="preserve">se observa que </w:t>
      </w:r>
      <w:r w:rsidR="00495D99" w:rsidRPr="00495D99">
        <w:rPr>
          <w:rFonts w:ascii="Palatino Linotype" w:hAnsi="Palatino Linotype" w:cs="Tahoma"/>
          <w:lang w:val="es-MX"/>
        </w:rPr>
        <w:t xml:space="preserve">en términos de lo dispuesto por los artículos 13 y 181, cuarto párrafo de la Ley de Transparencia y Acceso a la Información del Estado de México y </w:t>
      </w:r>
      <w:r w:rsidR="00495D99">
        <w:rPr>
          <w:rFonts w:ascii="Palatino Linotype" w:hAnsi="Palatino Linotype" w:cs="Tahoma"/>
          <w:lang w:val="es-MX"/>
        </w:rPr>
        <w:t>Municipios, esta Autoridad suplió</w:t>
      </w:r>
      <w:r w:rsidR="00495D99" w:rsidRPr="00495D99">
        <w:rPr>
          <w:rFonts w:ascii="Palatino Linotype" w:hAnsi="Palatino Linotype" w:cs="Tahoma"/>
          <w:lang w:val="es-MX"/>
        </w:rPr>
        <w:t xml:space="preserve"> la deficiencia </w:t>
      </w:r>
      <w:r w:rsidR="00495D99">
        <w:rPr>
          <w:rFonts w:ascii="Palatino Linotype" w:hAnsi="Palatino Linotype" w:cs="Tahoma"/>
          <w:lang w:val="es-MX"/>
        </w:rPr>
        <w:t>en la que presuntamente incurrió el Particular y estableció</w:t>
      </w:r>
      <w:r w:rsidR="00495D99" w:rsidRPr="00495D99">
        <w:rPr>
          <w:rFonts w:ascii="Palatino Linotype" w:hAnsi="Palatino Linotype" w:cs="Tahoma"/>
          <w:lang w:val="es-MX"/>
        </w:rPr>
        <w:t xml:space="preserve"> el periodo </w:t>
      </w:r>
      <w:r w:rsidR="00495D99">
        <w:rPr>
          <w:rFonts w:ascii="Palatino Linotype" w:hAnsi="Palatino Linotype" w:cs="Tahoma"/>
          <w:lang w:val="es-MX"/>
        </w:rPr>
        <w:t>de la administración municipal 2016-2018.</w:t>
      </w:r>
    </w:p>
    <w:p w:rsidR="00495D99" w:rsidRDefault="00495D99" w:rsidP="00495D99">
      <w:pPr>
        <w:spacing w:after="0" w:line="360" w:lineRule="auto"/>
        <w:jc w:val="both"/>
        <w:rPr>
          <w:rFonts w:ascii="Palatino Linotype" w:hAnsi="Palatino Linotype" w:cs="Tahoma"/>
          <w:lang w:val="es-MX"/>
        </w:rPr>
      </w:pPr>
    </w:p>
    <w:p w:rsidR="00495D99" w:rsidRDefault="00495D99" w:rsidP="00495D99">
      <w:pPr>
        <w:spacing w:after="0" w:line="360" w:lineRule="auto"/>
        <w:jc w:val="both"/>
        <w:rPr>
          <w:rFonts w:ascii="Palatino Linotype" w:hAnsi="Palatino Linotype" w:cs="Tahoma"/>
          <w:lang w:val="es-MX"/>
        </w:rPr>
      </w:pPr>
      <w:r>
        <w:rPr>
          <w:rFonts w:ascii="Palatino Linotype" w:hAnsi="Palatino Linotype" w:cs="Tahoma"/>
          <w:lang w:val="es-MX"/>
        </w:rPr>
        <w:t xml:space="preserve">Al respecto, es de señalar que no se coincide con la suplencia de la queja realizada, toda vez que si bien el citado artículo 13, de la Ley en la materia señala el deber que tiene este Instituto </w:t>
      </w:r>
      <w:r>
        <w:rPr>
          <w:rFonts w:ascii="Palatino Linotype" w:hAnsi="Palatino Linotype" w:cs="Tahoma"/>
          <w:lang w:val="es-MX"/>
        </w:rPr>
        <w:lastRenderedPageBreak/>
        <w:t>para suplir cualquier deficiencia</w:t>
      </w:r>
      <w:r w:rsidR="00CD7A4B">
        <w:rPr>
          <w:rFonts w:ascii="Palatino Linotype" w:hAnsi="Palatino Linotype" w:cs="Tahoma"/>
          <w:lang w:val="es-MX"/>
        </w:rPr>
        <w:t xml:space="preserve">, también </w:t>
      </w:r>
      <w:r w:rsidR="00297CF8">
        <w:rPr>
          <w:rFonts w:ascii="Palatino Linotype" w:hAnsi="Palatino Linotype" w:cs="Tahoma"/>
          <w:lang w:val="es-MX"/>
        </w:rPr>
        <w:t xml:space="preserve">determina </w:t>
      </w:r>
      <w:r w:rsidR="00CD7A4B">
        <w:rPr>
          <w:rFonts w:ascii="Palatino Linotype" w:hAnsi="Palatino Linotype" w:cs="Tahoma"/>
          <w:lang w:val="es-MX"/>
        </w:rPr>
        <w:t xml:space="preserve">que el ejercicio de dicha atribución será para garantizar el derecho de acceso a la información, por lo cual, ceñir un periodo por suponer un error del Particular, no garantiza el derecho de acceso a la información que es de su interés conocer. Esto es así, debido a que, en efecto, como se analiza en la Resolución en comento, el Particular refirió requerir la información de la administración 2015-2018, sin embargo se aduce que el periodo de dicha administración fue el comprendido de 2016 a 2018; </w:t>
      </w:r>
      <w:r w:rsidR="00297CF8">
        <w:rPr>
          <w:rFonts w:ascii="Palatino Linotype" w:hAnsi="Palatino Linotype" w:cs="Tahoma"/>
          <w:lang w:val="es-MX"/>
        </w:rPr>
        <w:t>por ello</w:t>
      </w:r>
      <w:r w:rsidR="00CD7A4B">
        <w:rPr>
          <w:rFonts w:ascii="Palatino Linotype" w:hAnsi="Palatino Linotype" w:cs="Tahoma"/>
          <w:lang w:val="es-MX"/>
        </w:rPr>
        <w:t xml:space="preserve">, se considera que la valoración realizada no favorece al Particular, además de que </w:t>
      </w:r>
      <w:r w:rsidR="00297CF8">
        <w:rPr>
          <w:rFonts w:ascii="Palatino Linotype" w:hAnsi="Palatino Linotype" w:cs="Tahoma"/>
          <w:lang w:val="es-MX"/>
        </w:rPr>
        <w:t>el Recurrente</w:t>
      </w:r>
      <w:r w:rsidR="00CD7A4B">
        <w:rPr>
          <w:rFonts w:ascii="Palatino Linotype" w:hAnsi="Palatino Linotype" w:cs="Tahoma"/>
          <w:lang w:val="es-MX"/>
        </w:rPr>
        <w:t xml:space="preserve"> </w:t>
      </w:r>
      <w:r w:rsidR="00297CF8">
        <w:rPr>
          <w:rFonts w:ascii="Palatino Linotype" w:hAnsi="Palatino Linotype" w:cs="Tahoma"/>
          <w:lang w:val="es-MX"/>
        </w:rPr>
        <w:t xml:space="preserve">señaló </w:t>
      </w:r>
      <w:r w:rsidR="00CD7A4B">
        <w:rPr>
          <w:rFonts w:ascii="Palatino Linotype" w:hAnsi="Palatino Linotype" w:cs="Tahoma"/>
          <w:lang w:val="es-MX"/>
        </w:rPr>
        <w:t xml:space="preserve">el periodo </w:t>
      </w:r>
      <w:r w:rsidR="00297CF8">
        <w:rPr>
          <w:rFonts w:ascii="Palatino Linotype" w:hAnsi="Palatino Linotype" w:cs="Tahoma"/>
          <w:lang w:val="es-MX"/>
        </w:rPr>
        <w:t xml:space="preserve">por el </w:t>
      </w:r>
      <w:r w:rsidR="00CD7A4B">
        <w:rPr>
          <w:rFonts w:ascii="Palatino Linotype" w:hAnsi="Palatino Linotype" w:cs="Tahoma"/>
          <w:lang w:val="es-MX"/>
        </w:rPr>
        <w:t xml:space="preserve">cual </w:t>
      </w:r>
      <w:r w:rsidR="00297CF8">
        <w:rPr>
          <w:rFonts w:ascii="Palatino Linotype" w:hAnsi="Palatino Linotype" w:cs="Tahoma"/>
          <w:lang w:val="es-MX"/>
        </w:rPr>
        <w:t xml:space="preserve">requirió </w:t>
      </w:r>
      <w:r w:rsidR="00CD7A4B">
        <w:rPr>
          <w:rFonts w:ascii="Palatino Linotype" w:hAnsi="Palatino Linotype" w:cs="Tahoma"/>
          <w:lang w:val="es-MX"/>
        </w:rPr>
        <w:t>la información.</w:t>
      </w:r>
    </w:p>
    <w:p w:rsidR="00CD7A4B" w:rsidRDefault="00CD7A4B" w:rsidP="00495D99">
      <w:pPr>
        <w:spacing w:after="0" w:line="360" w:lineRule="auto"/>
        <w:jc w:val="both"/>
        <w:rPr>
          <w:rFonts w:ascii="Palatino Linotype" w:hAnsi="Palatino Linotype" w:cs="Tahoma"/>
          <w:lang w:val="es-MX"/>
        </w:rPr>
      </w:pPr>
    </w:p>
    <w:p w:rsidR="00CD7A4B" w:rsidRDefault="00CD7A4B" w:rsidP="00495D99">
      <w:pPr>
        <w:spacing w:after="0" w:line="360" w:lineRule="auto"/>
        <w:jc w:val="both"/>
        <w:rPr>
          <w:rFonts w:ascii="Palatino Linotype" w:hAnsi="Palatino Linotype" w:cs="Tahoma"/>
          <w:lang w:val="es-MX"/>
        </w:rPr>
      </w:pPr>
      <w:r>
        <w:rPr>
          <w:rFonts w:ascii="Palatino Linotype" w:hAnsi="Palatino Linotype" w:cs="Tahoma"/>
          <w:lang w:val="es-MX"/>
        </w:rPr>
        <w:t>Fortalece lo expuesto, el hecho de que el propio artículo 181</w:t>
      </w:r>
      <w:r w:rsidRPr="00CD7A4B">
        <w:rPr>
          <w:rFonts w:ascii="Palatino Linotype" w:hAnsi="Palatino Linotype" w:cs="Tahoma"/>
          <w:lang w:val="es-MX"/>
        </w:rPr>
        <w:t xml:space="preserve"> </w:t>
      </w:r>
      <w:r w:rsidRPr="00495D99">
        <w:rPr>
          <w:rFonts w:ascii="Palatino Linotype" w:hAnsi="Palatino Linotype" w:cs="Tahoma"/>
          <w:lang w:val="es-MX"/>
        </w:rPr>
        <w:t xml:space="preserve">de la Ley de Transparencia y Acceso a la Información del Estado de México y </w:t>
      </w:r>
      <w:r>
        <w:rPr>
          <w:rFonts w:ascii="Palatino Linotype" w:hAnsi="Palatino Linotype" w:cs="Tahoma"/>
          <w:lang w:val="es-MX"/>
        </w:rPr>
        <w:t>Municipios, determina lo siguiente:</w:t>
      </w:r>
    </w:p>
    <w:p w:rsidR="00CD7A4B" w:rsidRDefault="00CD7A4B" w:rsidP="00495D99">
      <w:pPr>
        <w:spacing w:after="0" w:line="360" w:lineRule="auto"/>
        <w:jc w:val="both"/>
        <w:rPr>
          <w:rFonts w:ascii="Palatino Linotype" w:hAnsi="Palatino Linotype" w:cs="Tahoma"/>
          <w:lang w:val="es-MX"/>
        </w:rPr>
      </w:pPr>
    </w:p>
    <w:p w:rsidR="00CD7A4B" w:rsidRDefault="00CD7A4B" w:rsidP="00CD7A4B">
      <w:pPr>
        <w:spacing w:after="0" w:line="360" w:lineRule="auto"/>
        <w:ind w:left="567" w:right="567"/>
        <w:jc w:val="both"/>
        <w:rPr>
          <w:rFonts w:ascii="Palatino Linotype" w:hAnsi="Palatino Linotype" w:cs="Tahoma"/>
          <w:i/>
          <w:sz w:val="20"/>
          <w:lang w:val="es-MX"/>
        </w:rPr>
      </w:pPr>
      <w:r w:rsidRPr="00CD7A4B">
        <w:rPr>
          <w:rFonts w:ascii="Palatino Linotype" w:hAnsi="Palatino Linotype" w:cs="Tahoma"/>
          <w:b/>
          <w:bCs/>
          <w:i/>
          <w:sz w:val="20"/>
          <w:lang w:val="es-MX"/>
        </w:rPr>
        <w:t xml:space="preserve">Artículo 181. </w:t>
      </w:r>
      <w:r w:rsidRPr="00D90F14">
        <w:rPr>
          <w:rFonts w:ascii="Palatino Linotype" w:hAnsi="Palatino Linotype" w:cs="Tahoma"/>
          <w:i/>
          <w:sz w:val="20"/>
          <w:lang w:val="es-MX"/>
        </w:rPr>
        <w:t>Si el escrito de</w:t>
      </w:r>
      <w:r w:rsidRPr="00D90F14">
        <w:rPr>
          <w:rFonts w:ascii="Palatino Linotype" w:hAnsi="Palatino Linotype" w:cs="Tahoma"/>
          <w:b/>
          <w:i/>
          <w:sz w:val="20"/>
          <w:lang w:val="es-MX"/>
        </w:rPr>
        <w:t xml:space="preserve"> interposición </w:t>
      </w:r>
      <w:r w:rsidRPr="00D90F14">
        <w:rPr>
          <w:rFonts w:ascii="Palatino Linotype" w:hAnsi="Palatino Linotype" w:cs="Tahoma"/>
          <w:b/>
          <w:i/>
          <w:sz w:val="20"/>
          <w:u w:val="single"/>
          <w:lang w:val="es-MX"/>
        </w:rPr>
        <w:t>del recurso</w:t>
      </w:r>
      <w:r w:rsidRPr="00CD7A4B">
        <w:rPr>
          <w:rFonts w:ascii="Palatino Linotype" w:hAnsi="Palatino Linotype" w:cs="Tahoma"/>
          <w:i/>
          <w:sz w:val="20"/>
          <w:lang w:val="es-MX"/>
        </w:rPr>
        <w:t xml:space="preserve">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CD7A4B" w:rsidRPr="00CD7A4B" w:rsidRDefault="00D90F14" w:rsidP="00CD7A4B">
      <w:pPr>
        <w:spacing w:after="0" w:line="360" w:lineRule="auto"/>
        <w:ind w:left="567" w:right="567"/>
        <w:jc w:val="both"/>
        <w:rPr>
          <w:rFonts w:ascii="Palatino Linotype" w:hAnsi="Palatino Linotype" w:cs="Tahoma"/>
          <w:i/>
          <w:sz w:val="20"/>
          <w:lang w:val="es-MX"/>
        </w:rPr>
      </w:pPr>
      <w:r>
        <w:rPr>
          <w:rFonts w:ascii="Palatino Linotype" w:hAnsi="Palatino Linotype" w:cs="Tahoma"/>
          <w:i/>
          <w:sz w:val="20"/>
          <w:lang w:val="es-MX"/>
        </w:rPr>
        <w:t>…</w:t>
      </w:r>
    </w:p>
    <w:p w:rsidR="00CD7A4B" w:rsidRDefault="00CD7A4B" w:rsidP="00CD7A4B">
      <w:pPr>
        <w:spacing w:after="0" w:line="360" w:lineRule="auto"/>
        <w:ind w:left="567" w:right="567"/>
        <w:jc w:val="both"/>
        <w:rPr>
          <w:rFonts w:ascii="Palatino Linotype" w:hAnsi="Palatino Linotype" w:cs="Tahoma"/>
          <w:i/>
          <w:sz w:val="20"/>
          <w:lang w:val="es-MX"/>
        </w:rPr>
      </w:pPr>
      <w:r w:rsidRPr="00D90F14">
        <w:rPr>
          <w:rFonts w:ascii="Palatino Linotype" w:hAnsi="Palatino Linotype" w:cs="Tahoma"/>
          <w:b/>
          <w:i/>
          <w:sz w:val="20"/>
          <w:lang w:val="es-MX"/>
        </w:rPr>
        <w:t xml:space="preserve">Durante el procedimiento deberá aplicarse la </w:t>
      </w:r>
      <w:r w:rsidRPr="00D90F14">
        <w:rPr>
          <w:rFonts w:ascii="Palatino Linotype" w:hAnsi="Palatino Linotype" w:cs="Tahoma"/>
          <w:b/>
          <w:i/>
          <w:sz w:val="20"/>
          <w:u w:val="single"/>
          <w:lang w:val="es-MX"/>
        </w:rPr>
        <w:t>suplencia de la queja a favor del recurrente</w:t>
      </w:r>
      <w:r w:rsidRPr="00CD7A4B">
        <w:rPr>
          <w:rFonts w:ascii="Palatino Linotype" w:hAnsi="Palatino Linotype" w:cs="Tahoma"/>
          <w:i/>
          <w:sz w:val="20"/>
          <w:lang w:val="es-MX"/>
        </w:rPr>
        <w:t xml:space="preserve">, sin cambiar los hechos expuestos, asegurándose de que las partes puedan presentar, de manera oral o escrita, los argumentos que funden y motiven sus pretensiones. </w:t>
      </w:r>
    </w:p>
    <w:p w:rsidR="00CD7A4B" w:rsidRPr="00CD7A4B" w:rsidRDefault="00D90F14" w:rsidP="00CD7A4B">
      <w:pPr>
        <w:spacing w:after="0" w:line="360" w:lineRule="auto"/>
        <w:ind w:left="567" w:right="567"/>
        <w:jc w:val="both"/>
        <w:rPr>
          <w:rFonts w:ascii="Palatino Linotype" w:hAnsi="Palatino Linotype" w:cs="Tahoma"/>
          <w:i/>
          <w:sz w:val="20"/>
          <w:lang w:val="es-MX"/>
        </w:rPr>
      </w:pPr>
      <w:r>
        <w:rPr>
          <w:rFonts w:ascii="Palatino Linotype" w:hAnsi="Palatino Linotype" w:cs="Tahoma"/>
          <w:i/>
          <w:sz w:val="20"/>
          <w:lang w:val="es-MX"/>
        </w:rPr>
        <w:t>…</w:t>
      </w:r>
    </w:p>
    <w:p w:rsidR="00D90F14" w:rsidRDefault="00D90F14" w:rsidP="00495D99">
      <w:pPr>
        <w:spacing w:after="0" w:line="360" w:lineRule="auto"/>
        <w:jc w:val="both"/>
        <w:rPr>
          <w:rFonts w:ascii="Palatino Linotype" w:hAnsi="Palatino Linotype" w:cs="Tahoma"/>
          <w:lang w:val="es-MX"/>
        </w:rPr>
      </w:pPr>
      <w:r>
        <w:rPr>
          <w:rFonts w:ascii="Palatino Linotype" w:hAnsi="Palatino Linotype" w:cs="Tahoma"/>
          <w:lang w:val="es-MX"/>
        </w:rPr>
        <w:lastRenderedPageBreak/>
        <w:t>Como se puede observar, el precepto jurídico referido es claro en determina que la suplencia de la queja deberá aplicarse en favor del Recurrente</w:t>
      </w:r>
      <w:r w:rsidR="002D5334">
        <w:rPr>
          <w:rFonts w:ascii="Palatino Linotype" w:hAnsi="Palatino Linotype" w:cs="Tahoma"/>
          <w:lang w:val="es-MX"/>
        </w:rPr>
        <w:t>;</w:t>
      </w:r>
      <w:r>
        <w:rPr>
          <w:rFonts w:ascii="Palatino Linotype" w:hAnsi="Palatino Linotype" w:cs="Tahoma"/>
          <w:lang w:val="es-MX"/>
        </w:rPr>
        <w:t xml:space="preserve"> es decir, en aquello que le cause un beneficio en el ejercicio de su derecho de acceso a la información pública.</w:t>
      </w:r>
    </w:p>
    <w:p w:rsidR="008F55D5" w:rsidRDefault="008F55D5" w:rsidP="00495D99">
      <w:pPr>
        <w:spacing w:after="0" w:line="360" w:lineRule="auto"/>
        <w:jc w:val="both"/>
        <w:rPr>
          <w:rFonts w:ascii="Palatino Linotype" w:hAnsi="Palatino Linotype" w:cs="Tahoma"/>
          <w:lang w:val="es-MX"/>
        </w:rPr>
      </w:pPr>
    </w:p>
    <w:p w:rsidR="008F55D5" w:rsidRPr="008F55D5" w:rsidRDefault="008F55D5" w:rsidP="008F55D5">
      <w:pPr>
        <w:spacing w:after="0" w:line="360" w:lineRule="auto"/>
        <w:jc w:val="both"/>
        <w:rPr>
          <w:rFonts w:ascii="Palatino Linotype" w:hAnsi="Palatino Linotype" w:cs="Tahoma"/>
          <w:lang w:val="es-MX"/>
        </w:rPr>
      </w:pPr>
      <w:r>
        <w:rPr>
          <w:rFonts w:ascii="Palatino Linotype" w:hAnsi="Palatino Linotype" w:cs="Tahoma"/>
          <w:lang w:val="es-MX"/>
        </w:rPr>
        <w:t xml:space="preserve">Robustece lo anterior, la Tesis </w:t>
      </w:r>
      <w:r w:rsidRPr="008F55D5">
        <w:rPr>
          <w:rFonts w:ascii="Palatino Linotype" w:hAnsi="Palatino Linotype" w:cs="Tahoma"/>
        </w:rPr>
        <w:t>2005</w:t>
      </w:r>
      <w:r>
        <w:rPr>
          <w:rFonts w:ascii="Palatino Linotype" w:hAnsi="Palatino Linotype" w:cs="Tahoma"/>
        </w:rPr>
        <w:t>203,</w:t>
      </w:r>
      <w:r w:rsidRPr="008F55D5">
        <w:rPr>
          <w:rFonts w:ascii="Palatino Linotype" w:hAnsi="Palatino Linotype" w:cs="Tahoma"/>
        </w:rPr>
        <w:t xml:space="preserve"> Tribunales Colegiados de Circuito. Décima Época. Gaceta del Semanario Judicial de la Federación. Libro </w:t>
      </w:r>
      <w:r>
        <w:rPr>
          <w:rFonts w:ascii="Palatino Linotype" w:hAnsi="Palatino Linotype" w:cs="Tahoma"/>
        </w:rPr>
        <w:t>1, Diciembre de 2013, Pág. 1211, que se cita a continuación:</w:t>
      </w:r>
    </w:p>
    <w:p w:rsidR="008F55D5" w:rsidRDefault="008F55D5" w:rsidP="00495D99">
      <w:pPr>
        <w:spacing w:after="0" w:line="360" w:lineRule="auto"/>
        <w:jc w:val="both"/>
        <w:rPr>
          <w:rFonts w:ascii="Palatino Linotype" w:hAnsi="Palatino Linotype" w:cs="Tahoma"/>
          <w:lang w:val="es-MX"/>
        </w:rPr>
      </w:pPr>
    </w:p>
    <w:p w:rsidR="00194D77" w:rsidRDefault="008F55D5" w:rsidP="008F55D5">
      <w:pPr>
        <w:spacing w:after="0" w:line="360" w:lineRule="auto"/>
        <w:ind w:left="567" w:right="567"/>
        <w:jc w:val="both"/>
        <w:rPr>
          <w:rFonts w:ascii="Palatino Linotype" w:hAnsi="Palatino Linotype" w:cs="Tahoma"/>
          <w:i/>
          <w:sz w:val="20"/>
        </w:rPr>
      </w:pPr>
      <w:r w:rsidRPr="008F55D5">
        <w:rPr>
          <w:rFonts w:ascii="Palatino Linotype" w:hAnsi="Palatino Linotype" w:cs="Tahoma"/>
          <w:b/>
          <w:i/>
          <w:sz w:val="20"/>
        </w:rPr>
        <w:t>PRINCIPIO PRO HOMINE. VARIANTES QUE LO COMPONEN</w:t>
      </w:r>
      <w:r w:rsidRPr="008F55D5">
        <w:rPr>
          <w:rFonts w:ascii="Palatino Linotype" w:hAnsi="Palatino Linotype" w:cs="Tahoma"/>
          <w:i/>
          <w:sz w:val="20"/>
        </w:rPr>
        <w:t xml:space="preserve">. Conforme al artículo 1o., segundo párrafo, de la Constitución Política de los Estados Unidos Mexicanos, </w:t>
      </w:r>
      <w:r w:rsidRPr="008F55D5">
        <w:rPr>
          <w:rFonts w:ascii="Palatino Linotype" w:hAnsi="Palatino Linotype" w:cs="Tahoma"/>
          <w:b/>
          <w:i/>
          <w:sz w:val="20"/>
          <w:u w:val="single"/>
        </w:rPr>
        <w:t xml:space="preserve">las normas en materia de derechos humanos se interpretarán </w:t>
      </w:r>
      <w:r w:rsidRPr="008F55D5">
        <w:rPr>
          <w:rFonts w:ascii="Palatino Linotype" w:hAnsi="Palatino Linotype" w:cs="Tahoma"/>
          <w:i/>
          <w:sz w:val="20"/>
        </w:rPr>
        <w:t xml:space="preserve">de conformidad con la propia Constitución y con los tratados internacionales de la materia, </w:t>
      </w:r>
      <w:r w:rsidRPr="008F55D5">
        <w:rPr>
          <w:rFonts w:ascii="Palatino Linotype" w:hAnsi="Palatino Linotype" w:cs="Tahoma"/>
          <w:b/>
          <w:i/>
          <w:sz w:val="20"/>
          <w:u w:val="single"/>
        </w:rPr>
        <w:t>procurando favorecer en todo tiempo a las personas con la protección más amplia</w:t>
      </w:r>
      <w:r w:rsidRPr="008F55D5">
        <w:rPr>
          <w:rFonts w:ascii="Palatino Linotype" w:hAnsi="Palatino Linotype" w:cs="Tahoma"/>
          <w:i/>
          <w:sz w:val="20"/>
        </w:rPr>
        <w:t xml:space="preserve">. En este párrafo se recoge el principio "pro homine", el cual consiste en ponderar el peso de los derechos humanos, a efecto de estar siempre a favor del hombre, lo que </w:t>
      </w:r>
      <w:r w:rsidRPr="008F55D5">
        <w:rPr>
          <w:rFonts w:ascii="Palatino Linotype" w:hAnsi="Palatino Linotype" w:cs="Tahoma"/>
          <w:b/>
          <w:i/>
          <w:sz w:val="20"/>
        </w:rPr>
        <w:t>implica que debe acudirse a la norma más amplia o a la interpretación más extensiva cuando se trate de derechos protegidos</w:t>
      </w:r>
      <w:r w:rsidRPr="008F55D5">
        <w:rPr>
          <w:rFonts w:ascii="Palatino Linotype" w:hAnsi="Palatino Linotype" w:cs="Tahoma"/>
          <w:i/>
          <w:sz w:val="20"/>
        </w:rPr>
        <w:t xml:space="preserve"> y, por el contrario, a la norma o a la interpretación más restringida, cuando se trate de establecer límites a su ejercicio. En este contexto, desde el campo doctrinal se ha considerado que el referido principio "pro homine" tiene dos variantes: a) Directriz de preferencia interpretativa, por la cual se ha de buscar la interpretación que optimice más un derecho constitucional. Esta variante, a su vez, se compone de: a.1.) Principio favor libertatis,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debilis; referente a </w:t>
      </w:r>
      <w:r w:rsidRPr="008F55D5">
        <w:rPr>
          <w:rFonts w:ascii="Palatino Linotype" w:hAnsi="Palatino Linotype" w:cs="Tahoma"/>
          <w:i/>
          <w:sz w:val="20"/>
        </w:rPr>
        <w:lastRenderedPageBreak/>
        <w:t xml:space="preserve">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 </w:t>
      </w:r>
    </w:p>
    <w:p w:rsidR="0013161C" w:rsidRDefault="0013161C" w:rsidP="008F55D5">
      <w:pPr>
        <w:spacing w:after="0" w:line="360" w:lineRule="auto"/>
        <w:ind w:left="567" w:right="567"/>
        <w:jc w:val="both"/>
        <w:rPr>
          <w:rFonts w:ascii="Palatino Linotype" w:hAnsi="Palatino Linotype" w:cs="Tahoma"/>
          <w:i/>
          <w:sz w:val="20"/>
        </w:rPr>
      </w:pPr>
    </w:p>
    <w:p w:rsidR="008F55D5" w:rsidRDefault="008F55D5" w:rsidP="008F55D5">
      <w:pPr>
        <w:spacing w:after="0" w:line="360" w:lineRule="auto"/>
        <w:ind w:left="567" w:right="567"/>
        <w:jc w:val="both"/>
        <w:rPr>
          <w:rFonts w:ascii="Palatino Linotype" w:hAnsi="Palatino Linotype" w:cs="Tahoma"/>
          <w:i/>
          <w:sz w:val="20"/>
        </w:rPr>
      </w:pPr>
      <w:r w:rsidRPr="008F55D5">
        <w:rPr>
          <w:rFonts w:ascii="Palatino Linotype" w:hAnsi="Palatino Linotype" w:cs="Tahoma"/>
          <w:i/>
          <w:sz w:val="20"/>
        </w:rPr>
        <w:t xml:space="preserve">CUARTO TRIBUNAL COLEGIADO EN MATERIA ADMINISTRATIVA DEL PRIMER CIRCUITO. </w:t>
      </w:r>
    </w:p>
    <w:p w:rsidR="0013161C" w:rsidRDefault="0013161C" w:rsidP="008F55D5">
      <w:pPr>
        <w:spacing w:after="0" w:line="360" w:lineRule="auto"/>
        <w:ind w:left="567" w:right="567"/>
        <w:jc w:val="both"/>
        <w:rPr>
          <w:rFonts w:ascii="Palatino Linotype" w:hAnsi="Palatino Linotype" w:cs="Tahoma"/>
          <w:i/>
          <w:sz w:val="20"/>
        </w:rPr>
      </w:pPr>
    </w:p>
    <w:p w:rsidR="008F55D5" w:rsidRPr="008F55D5" w:rsidRDefault="008F55D5" w:rsidP="008F55D5">
      <w:pPr>
        <w:spacing w:after="0" w:line="360" w:lineRule="auto"/>
        <w:ind w:left="567" w:right="567"/>
        <w:jc w:val="both"/>
        <w:rPr>
          <w:rFonts w:ascii="Palatino Linotype" w:hAnsi="Palatino Linotype" w:cs="Tahoma"/>
          <w:i/>
          <w:sz w:val="20"/>
          <w:lang w:val="es-MX"/>
        </w:rPr>
      </w:pPr>
      <w:r w:rsidRPr="008F55D5">
        <w:rPr>
          <w:rFonts w:ascii="Palatino Linotype" w:hAnsi="Palatino Linotype" w:cs="Tahoma"/>
          <w:i/>
          <w:sz w:val="20"/>
        </w:rPr>
        <w:t>Revisión fiscal 69/2013. Director General Adjunto Jurídico Contencioso, por ausencia del Titular de la Unidad de Asuntos Jurídicos de la Secretaría de la Función Pública. 13 de junio de 2013. Unanimidad de votos. Ponente: Jesús Antonio Nazar Sevilla. Secretario: Homero Fernando Reed Mejía.</w:t>
      </w:r>
    </w:p>
    <w:p w:rsidR="00D90F14" w:rsidRDefault="00D90F14" w:rsidP="00495D99">
      <w:pPr>
        <w:spacing w:after="0" w:line="360" w:lineRule="auto"/>
        <w:jc w:val="both"/>
        <w:rPr>
          <w:rFonts w:ascii="Palatino Linotype" w:hAnsi="Palatino Linotype" w:cs="Tahoma"/>
          <w:lang w:val="es-MX"/>
        </w:rPr>
      </w:pPr>
    </w:p>
    <w:p w:rsidR="00D90F14" w:rsidRDefault="00D90F14" w:rsidP="00495D99">
      <w:pPr>
        <w:spacing w:after="0" w:line="360" w:lineRule="auto"/>
        <w:jc w:val="both"/>
        <w:rPr>
          <w:rFonts w:ascii="Palatino Linotype" w:hAnsi="Palatino Linotype" w:cs="Tahoma"/>
          <w:lang w:val="es-MX"/>
        </w:rPr>
      </w:pPr>
      <w:r>
        <w:rPr>
          <w:rFonts w:ascii="Palatino Linotype" w:hAnsi="Palatino Linotype" w:cs="Tahoma"/>
          <w:lang w:val="es-MX"/>
        </w:rPr>
        <w:t>Bajo este contexto, para el caso que nos ocupa, no se coincide en invocar la suplencia de la queja para ceñir el periodo de entrega de la información en el que se reste o elimine un año debidamente señalado por el Particular desde la presentación de su solicitud, en virtud de que dicha medida en nada favorece el Recurrente, toda vez que se está omitiendo un año de información que manifestó ser de su interés.</w:t>
      </w:r>
    </w:p>
    <w:p w:rsidR="00D90F14" w:rsidRDefault="00D90F14" w:rsidP="00495D99">
      <w:pPr>
        <w:spacing w:after="0" w:line="360" w:lineRule="auto"/>
        <w:jc w:val="both"/>
        <w:rPr>
          <w:rFonts w:ascii="Palatino Linotype" w:hAnsi="Palatino Linotype" w:cs="Tahoma"/>
          <w:lang w:val="es-MX"/>
        </w:rPr>
      </w:pPr>
    </w:p>
    <w:p w:rsidR="00D90F14" w:rsidRPr="00495D99" w:rsidRDefault="00D90F14" w:rsidP="00495D99">
      <w:pPr>
        <w:spacing w:after="0" w:line="360" w:lineRule="auto"/>
        <w:jc w:val="both"/>
        <w:rPr>
          <w:rFonts w:ascii="Palatino Linotype" w:hAnsi="Palatino Linotype" w:cs="Tahoma"/>
          <w:lang w:val="es-MX"/>
        </w:rPr>
      </w:pPr>
      <w:r>
        <w:rPr>
          <w:rFonts w:ascii="Palatino Linotype" w:hAnsi="Palatino Linotype" w:cs="Tahoma"/>
          <w:lang w:val="es-MX"/>
        </w:rPr>
        <w:t>Aunado a lo expuesto, es oportuno señalar que el Sujeto Obligado no manifestó inconveniente alguno en los periodos señalados por el Particular, prueba de ello es que en el caso del tabulador del Ayuntamiento sí hizo entrega del correspondiente al año dos mil quince, sin hacer alusión a la duración de la administración municipal.</w:t>
      </w:r>
    </w:p>
    <w:p w:rsidR="00495D99" w:rsidRDefault="00495D99" w:rsidP="00495D99">
      <w:pPr>
        <w:spacing w:after="0" w:line="360" w:lineRule="auto"/>
        <w:jc w:val="both"/>
        <w:rPr>
          <w:rFonts w:ascii="Palatino Linotype" w:hAnsi="Palatino Linotype" w:cs="Tahoma"/>
        </w:rPr>
      </w:pPr>
    </w:p>
    <w:p w:rsidR="00B33A08" w:rsidRDefault="00B33A08" w:rsidP="00495D99">
      <w:pPr>
        <w:spacing w:after="0" w:line="360" w:lineRule="auto"/>
        <w:jc w:val="both"/>
        <w:rPr>
          <w:rFonts w:ascii="Palatino Linotype" w:hAnsi="Palatino Linotype" w:cs="Tahoma"/>
        </w:rPr>
      </w:pPr>
      <w:r>
        <w:rPr>
          <w:rFonts w:ascii="Palatino Linotype" w:hAnsi="Palatino Linotype" w:cs="Tahoma"/>
        </w:rPr>
        <w:lastRenderedPageBreak/>
        <w:t xml:space="preserve">Por consiguiente, </w:t>
      </w:r>
      <w:r w:rsidR="00194D77">
        <w:rPr>
          <w:rFonts w:ascii="Palatino Linotype" w:hAnsi="Palatino Linotype" w:cs="Tahoma"/>
        </w:rPr>
        <w:t>con el objeto de garantizar el acceso a la información del Particular, consider</w:t>
      </w:r>
      <w:r w:rsidR="002D5334">
        <w:rPr>
          <w:rFonts w:ascii="Palatino Linotype" w:hAnsi="Palatino Linotype" w:cs="Tahoma"/>
        </w:rPr>
        <w:t>o</w:t>
      </w:r>
      <w:r w:rsidR="00194D77">
        <w:rPr>
          <w:rFonts w:ascii="Palatino Linotype" w:hAnsi="Palatino Linotype" w:cs="Tahoma"/>
        </w:rPr>
        <w:t xml:space="preserve"> que se debió ordenar la entrega del </w:t>
      </w:r>
      <w:r w:rsidR="00194D77">
        <w:rPr>
          <w:rFonts w:ascii="Palatino Linotype" w:hAnsi="Palatino Linotype" w:cs="Arial"/>
        </w:rPr>
        <w:t>tabulador del Sistema Municipal para el Desarrollo Integral de la Familia correspondiente al año dos mil quince</w:t>
      </w:r>
      <w:r>
        <w:rPr>
          <w:rFonts w:ascii="Palatino Linotype" w:hAnsi="Palatino Linotype" w:cs="Tahoma"/>
        </w:rPr>
        <w:t>.</w:t>
      </w:r>
    </w:p>
    <w:p w:rsidR="00B33A08" w:rsidRDefault="00B33A08" w:rsidP="00495D99">
      <w:pPr>
        <w:spacing w:after="0" w:line="360" w:lineRule="auto"/>
        <w:jc w:val="both"/>
        <w:rPr>
          <w:rFonts w:ascii="Palatino Linotype" w:hAnsi="Palatino Linotype" w:cs="Tahoma"/>
        </w:rPr>
      </w:pPr>
    </w:p>
    <w:p w:rsidR="00147B9E" w:rsidRPr="00674E46" w:rsidRDefault="00147B9E" w:rsidP="00495D99">
      <w:pPr>
        <w:spacing w:after="0" w:line="360" w:lineRule="auto"/>
        <w:jc w:val="both"/>
        <w:rPr>
          <w:rFonts w:ascii="Palatino Linotype" w:hAnsi="Palatino Linotype" w:cs="Tahoma"/>
        </w:rPr>
      </w:pPr>
      <w:r w:rsidRPr="00674E46">
        <w:rPr>
          <w:rFonts w:ascii="Palatino Linotype" w:hAnsi="Palatino Linotype" w:cs="Tahoma"/>
        </w:rPr>
        <w:t xml:space="preserve">Así, con base en los razonamientos expuestos, se emite el presente </w:t>
      </w:r>
      <w:r w:rsidRPr="00674E46">
        <w:rPr>
          <w:rFonts w:ascii="Palatino Linotype" w:hAnsi="Palatino Linotype" w:cs="Tahoma"/>
          <w:b/>
        </w:rPr>
        <w:t>Voto Particular</w:t>
      </w:r>
      <w:r w:rsidRPr="00674E46">
        <w:rPr>
          <w:rFonts w:ascii="Palatino Linotype" w:hAnsi="Palatino Linotype" w:cs="Tahoma"/>
        </w:rPr>
        <w:t>.</w:t>
      </w:r>
    </w:p>
    <w:p w:rsidR="003C72D2" w:rsidRDefault="003C72D2" w:rsidP="00495D99">
      <w:pPr>
        <w:spacing w:after="0" w:line="360" w:lineRule="auto"/>
        <w:rPr>
          <w:rFonts w:ascii="Palatino Linotype" w:hAnsi="Palatino Linotype" w:cs="Tahoma"/>
          <w:b/>
        </w:rPr>
      </w:pPr>
    </w:p>
    <w:p w:rsidR="002D5334" w:rsidRDefault="002D5334" w:rsidP="00495D99">
      <w:pPr>
        <w:spacing w:after="0" w:line="360" w:lineRule="auto"/>
        <w:rPr>
          <w:rFonts w:ascii="Palatino Linotype" w:hAnsi="Palatino Linotype" w:cs="Tahoma"/>
          <w:b/>
        </w:rPr>
      </w:pPr>
    </w:p>
    <w:p w:rsidR="00D5669C" w:rsidRDefault="00D5669C" w:rsidP="00495D99">
      <w:pPr>
        <w:spacing w:after="0" w:line="360" w:lineRule="auto"/>
        <w:rPr>
          <w:rFonts w:ascii="Palatino Linotype" w:hAnsi="Palatino Linotype" w:cs="Tahoma"/>
          <w:b/>
        </w:rPr>
      </w:pPr>
      <w:bookmarkStart w:id="0" w:name="_GoBack"/>
      <w:bookmarkEnd w:id="0"/>
    </w:p>
    <w:p w:rsidR="00147B9E" w:rsidRPr="00674E46" w:rsidRDefault="00147B9E" w:rsidP="00495D99">
      <w:pPr>
        <w:spacing w:after="0" w:line="360" w:lineRule="auto"/>
        <w:rPr>
          <w:rFonts w:ascii="Palatino Linotype" w:hAnsi="Palatino Linotype" w:cs="Tahoma"/>
          <w:b/>
        </w:rPr>
      </w:pPr>
      <w:r w:rsidRPr="00674E46">
        <w:rPr>
          <w:rFonts w:ascii="Palatino Linotype" w:hAnsi="Palatino Linotype" w:cs="Tahoma"/>
          <w:b/>
        </w:rPr>
        <w:t>Luis Gustavo Parra Noriega</w:t>
      </w:r>
    </w:p>
    <w:p w:rsidR="00147B9E" w:rsidRPr="00674E46" w:rsidRDefault="00147B9E" w:rsidP="00495D99">
      <w:pPr>
        <w:spacing w:after="0" w:line="360" w:lineRule="auto"/>
        <w:rPr>
          <w:rFonts w:ascii="Palatino Linotype" w:hAnsi="Palatino Linotype" w:cs="Tahoma"/>
        </w:rPr>
      </w:pPr>
      <w:r w:rsidRPr="00674E46">
        <w:rPr>
          <w:rFonts w:ascii="Palatino Linotype" w:hAnsi="Palatino Linotype" w:cs="Tahoma"/>
        </w:rPr>
        <w:t>Comisionado</w:t>
      </w:r>
    </w:p>
    <w:p w:rsidR="00147B9E" w:rsidRPr="00674E46" w:rsidRDefault="00147B9E" w:rsidP="00495D99">
      <w:pPr>
        <w:spacing w:after="0" w:line="360" w:lineRule="auto"/>
        <w:rPr>
          <w:rFonts w:ascii="Palatino Linotype" w:hAnsi="Palatino Linotype" w:cs="Tahoma"/>
          <w:b/>
        </w:rPr>
      </w:pPr>
    </w:p>
    <w:sectPr w:rsidR="00147B9E" w:rsidRPr="00674E46" w:rsidSect="0099296B">
      <w:headerReference w:type="default" r:id="rId8"/>
      <w:footerReference w:type="default" r:id="rId9"/>
      <w:pgSz w:w="12240" w:h="15840" w:code="1"/>
      <w:pgMar w:top="187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7E" w:rsidRDefault="00B92B7E" w:rsidP="00EE29F6">
      <w:pPr>
        <w:spacing w:after="0" w:line="240" w:lineRule="auto"/>
      </w:pPr>
      <w:r>
        <w:separator/>
      </w:r>
    </w:p>
  </w:endnote>
  <w:endnote w:type="continuationSeparator" w:id="0">
    <w:p w:rsidR="00B92B7E" w:rsidRDefault="00B92B7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052008"/>
      <w:docPartObj>
        <w:docPartGallery w:val="Page Numbers (Bottom of Page)"/>
        <w:docPartUnique/>
      </w:docPartObj>
    </w:sdtPr>
    <w:sdtEndPr/>
    <w:sdtContent>
      <w:sdt>
        <w:sdtPr>
          <w:id w:val="-1875071542"/>
          <w:docPartObj>
            <w:docPartGallery w:val="Page Numbers (Top of Page)"/>
            <w:docPartUnique/>
          </w:docPartObj>
        </w:sdtPr>
        <w:sdtEndPr/>
        <w:sdtContent>
          <w:p w:rsidR="00810DFB" w:rsidRDefault="00810DFB">
            <w:pPr>
              <w:pStyle w:val="Piedepgina"/>
              <w:jc w:val="center"/>
            </w:pPr>
          </w:p>
          <w:p w:rsidR="0013161C" w:rsidRPr="00430B64" w:rsidRDefault="0013161C">
            <w:pPr>
              <w:pStyle w:val="Piedepgina"/>
              <w:jc w:val="center"/>
              <w:rPr>
                <w:sz w:val="10"/>
                <w:szCs w:val="10"/>
              </w:rPr>
            </w:pPr>
          </w:p>
          <w:p w:rsidR="00A04399" w:rsidRDefault="00A04399">
            <w:pPr>
              <w:pStyle w:val="Piedepgina"/>
              <w:jc w:val="center"/>
            </w:pPr>
          </w:p>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5669C">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5669C">
              <w:rPr>
                <w:b/>
                <w:bCs/>
                <w:noProof/>
              </w:rPr>
              <w:t>6</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7E" w:rsidRDefault="00B92B7E" w:rsidP="00EE29F6">
      <w:pPr>
        <w:spacing w:after="0" w:line="240" w:lineRule="auto"/>
      </w:pPr>
      <w:r>
        <w:separator/>
      </w:r>
    </w:p>
  </w:footnote>
  <w:footnote w:type="continuationSeparator" w:id="0">
    <w:p w:rsidR="00B92B7E" w:rsidRDefault="00B92B7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6520"/>
    </w:tblGrid>
    <w:tr w:rsidR="00363357" w:rsidRPr="001106EA" w:rsidTr="000736FA">
      <w:trPr>
        <w:trHeight w:val="1843"/>
      </w:trPr>
      <w:tc>
        <w:tcPr>
          <w:tcW w:w="2547"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609725" cy="1125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rotWithShape="1">
                        <a:blip r:embed="rId1" cstate="print">
                          <a:extLst>
                            <a:ext uri="{28A0092B-C50C-407E-A947-70E740481C1C}">
                              <a14:useLocalDpi xmlns:a14="http://schemas.microsoft.com/office/drawing/2010/main" val="0"/>
                            </a:ext>
                          </a:extLst>
                        </a:blip>
                        <a:srcRect l="10169"/>
                        <a:stretch/>
                      </pic:blipFill>
                      <pic:spPr bwMode="auto">
                        <a:xfrm>
                          <a:off x="0" y="0"/>
                          <a:ext cx="1659690" cy="1160801"/>
                        </a:xfrm>
                        <a:prstGeom prst="rect">
                          <a:avLst/>
                        </a:prstGeom>
                        <a:ln>
                          <a:noFill/>
                        </a:ln>
                        <a:extLst>
                          <a:ext uri="{53640926-AAD7-44D8-BBD7-CCE9431645EC}">
                            <a14:shadowObscured xmlns:a14="http://schemas.microsoft.com/office/drawing/2010/main"/>
                          </a:ext>
                        </a:extLst>
                      </pic:spPr>
                    </pic:pic>
                  </a:graphicData>
                </a:graphic>
              </wp:inline>
            </w:drawing>
          </w:r>
        </w:p>
        <w:p w:rsidR="00363357" w:rsidRDefault="00363357" w:rsidP="0077694E">
          <w:pPr>
            <w:pStyle w:val="Encabezado"/>
            <w:tabs>
              <w:tab w:val="clear" w:pos="4252"/>
              <w:tab w:val="center" w:pos="2614"/>
            </w:tabs>
          </w:pPr>
        </w:p>
      </w:tc>
      <w:tc>
        <w:tcPr>
          <w:tcW w:w="6520" w:type="dxa"/>
          <w:vAlign w:val="center"/>
        </w:tcPr>
        <w:tbl>
          <w:tblPr>
            <w:tblStyle w:val="Tablaconcuadrcula"/>
            <w:tblW w:w="6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3289"/>
            <w:gridCol w:w="3118"/>
          </w:tblGrid>
          <w:tr w:rsidR="005A4884" w:rsidTr="000736FA">
            <w:trPr>
              <w:gridAfter w:val="1"/>
              <w:wAfter w:w="3118" w:type="dxa"/>
              <w:trHeight w:val="286"/>
            </w:trPr>
            <w:tc>
              <w:tcPr>
                <w:tcW w:w="3289" w:type="dxa"/>
                <w:vAlign w:val="center"/>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0736FA" w:rsidTr="000736FA">
            <w:trPr>
              <w:gridAfter w:val="1"/>
              <w:wAfter w:w="3118" w:type="dxa"/>
              <w:trHeight w:val="286"/>
            </w:trPr>
            <w:tc>
              <w:tcPr>
                <w:tcW w:w="3289" w:type="dxa"/>
                <w:vAlign w:val="center"/>
              </w:tcPr>
              <w:p w:rsidR="00B64EEB" w:rsidRPr="00085241" w:rsidRDefault="00B64EEB" w:rsidP="00B64EEB">
                <w:pPr>
                  <w:pStyle w:val="Encabezado"/>
                  <w:rPr>
                    <w:rFonts w:ascii="Palatino Linotype" w:hAnsi="Palatino Linotype" w:cs="Tahoma"/>
                    <w:b/>
                  </w:rPr>
                </w:pPr>
              </w:p>
            </w:tc>
          </w:tr>
          <w:tr w:rsidR="005A4884" w:rsidTr="000736FA">
            <w:tblPrEx>
              <w:tblCellMar>
                <w:left w:w="108" w:type="dxa"/>
                <w:right w:w="108" w:type="dxa"/>
              </w:tblCellMar>
              <w:tblLook w:val="04A0" w:firstRow="1" w:lastRow="0" w:firstColumn="1" w:lastColumn="0" w:noHBand="0" w:noVBand="1"/>
            </w:tblPrEx>
            <w:tc>
              <w:tcPr>
                <w:tcW w:w="3289" w:type="dxa"/>
                <w:vAlign w:val="center"/>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3118" w:type="dxa"/>
                <w:vAlign w:val="center"/>
              </w:tcPr>
              <w:p w:rsidR="002F08A6" w:rsidRDefault="005A4884" w:rsidP="00B64EEB">
                <w:pPr>
                  <w:pStyle w:val="Encabezado"/>
                  <w:jc w:val="both"/>
                  <w:rPr>
                    <w:rFonts w:ascii="Palatino Linotype" w:hAnsi="Palatino Linotype" w:cs="Tahoma"/>
                    <w:b/>
                  </w:rPr>
                </w:pPr>
                <w:r>
                  <w:rPr>
                    <w:rFonts w:ascii="Palatino Linotype" w:hAnsi="Palatino Linotype" w:cs="Tahoma"/>
                    <w:b/>
                  </w:rPr>
                  <w:t>0</w:t>
                </w:r>
                <w:r w:rsidR="000736FA">
                  <w:rPr>
                    <w:rFonts w:ascii="Palatino Linotype" w:hAnsi="Palatino Linotype" w:cs="Tahoma"/>
                    <w:b/>
                  </w:rPr>
                  <w:t>0807</w:t>
                </w:r>
                <w:r w:rsidR="00695194">
                  <w:rPr>
                    <w:rFonts w:ascii="Palatino Linotype" w:hAnsi="Palatino Linotype" w:cs="Tahoma"/>
                    <w:b/>
                  </w:rPr>
                  <w:t>/INFOEM/IP/RR/2019</w:t>
                </w:r>
                <w:r w:rsidR="009679E0">
                  <w:rPr>
                    <w:rFonts w:ascii="Palatino Linotype" w:hAnsi="Palatino Linotype" w:cs="Tahoma"/>
                    <w:b/>
                  </w:rPr>
                  <w:t xml:space="preserve"> </w:t>
                </w:r>
              </w:p>
            </w:tc>
          </w:tr>
          <w:tr w:rsidR="005A4884" w:rsidTr="000736FA">
            <w:tblPrEx>
              <w:tblCellMar>
                <w:left w:w="108" w:type="dxa"/>
                <w:right w:w="108" w:type="dxa"/>
              </w:tblCellMar>
              <w:tblLook w:val="04A0" w:firstRow="1" w:lastRow="0" w:firstColumn="1" w:lastColumn="0" w:noHBand="0" w:noVBand="1"/>
            </w:tblPrEx>
            <w:tc>
              <w:tcPr>
                <w:tcW w:w="3289" w:type="dxa"/>
                <w:vAlign w:val="center"/>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3118" w:type="dxa"/>
                <w:vAlign w:val="center"/>
              </w:tcPr>
              <w:p w:rsidR="005A4884" w:rsidRDefault="000736FA" w:rsidP="00ED7D75">
                <w:pPr>
                  <w:pStyle w:val="Encabezado"/>
                  <w:jc w:val="both"/>
                  <w:rPr>
                    <w:rFonts w:ascii="Palatino Linotype" w:hAnsi="Palatino Linotype" w:cs="Tahoma"/>
                    <w:b/>
                  </w:rPr>
                </w:pPr>
                <w:r w:rsidRPr="0039370B">
                  <w:rPr>
                    <w:rFonts w:ascii="Palatino Linotype" w:hAnsi="Palatino Linotype"/>
                    <w:b/>
                    <w:bCs/>
                  </w:rPr>
                  <w:t>Ayuntamiento de Polotitlán</w:t>
                </w:r>
              </w:p>
            </w:tc>
          </w:tr>
          <w:tr w:rsidR="005A4884" w:rsidTr="000736FA">
            <w:tblPrEx>
              <w:tblCellMar>
                <w:left w:w="108" w:type="dxa"/>
                <w:right w:w="108" w:type="dxa"/>
              </w:tblCellMar>
              <w:tblLook w:val="04A0" w:firstRow="1" w:lastRow="0" w:firstColumn="1" w:lastColumn="0" w:noHBand="0" w:noVBand="1"/>
            </w:tblPrEx>
            <w:tc>
              <w:tcPr>
                <w:tcW w:w="3289" w:type="dxa"/>
                <w:vAlign w:val="center"/>
              </w:tcPr>
              <w:p w:rsidR="005A4884" w:rsidRDefault="00FD395F" w:rsidP="005A4884">
                <w:pPr>
                  <w:pStyle w:val="Encabezado"/>
                  <w:jc w:val="right"/>
                  <w:rPr>
                    <w:rFonts w:ascii="Palatino Linotype" w:hAnsi="Palatino Linotype" w:cs="Tahoma"/>
                    <w:b/>
                  </w:rPr>
                </w:pPr>
                <w:r>
                  <w:rPr>
                    <w:rFonts w:ascii="Palatino Linotype" w:hAnsi="Palatino Linotype" w:cs="Tahoma"/>
                    <w:b/>
                  </w:rPr>
                  <w:t>Comisionado</w:t>
                </w:r>
                <w:r w:rsidR="005A4884" w:rsidRPr="00085241">
                  <w:rPr>
                    <w:rFonts w:ascii="Palatino Linotype" w:hAnsi="Palatino Linotype" w:cs="Tahoma"/>
                    <w:b/>
                  </w:rPr>
                  <w:t xml:space="preserve"> Ponente:</w:t>
                </w:r>
              </w:p>
            </w:tc>
            <w:tc>
              <w:tcPr>
                <w:tcW w:w="3118" w:type="dxa"/>
                <w:vAlign w:val="center"/>
              </w:tcPr>
              <w:p w:rsidR="0099296B" w:rsidRDefault="000736FA" w:rsidP="005A4884">
                <w:pPr>
                  <w:pStyle w:val="Encabezado"/>
                  <w:jc w:val="both"/>
                  <w:rPr>
                    <w:rFonts w:ascii="Palatino Linotype" w:hAnsi="Palatino Linotype" w:cs="Tahoma"/>
                    <w:b/>
                  </w:rPr>
                </w:pPr>
                <w:r w:rsidRPr="00664658">
                  <w:rPr>
                    <w:rFonts w:ascii="Palatino Linotype" w:hAnsi="Palatino Linotype"/>
                    <w:b/>
                    <w:lang w:val="es-ES_tradnl"/>
                  </w:rPr>
                  <w:t>Eva</w:t>
                </w:r>
                <w:r>
                  <w:rPr>
                    <w:rFonts w:ascii="Palatino Linotype" w:hAnsi="Palatino Linotype"/>
                    <w:b/>
                    <w:lang w:val="es-ES_tradnl"/>
                  </w:rPr>
                  <w:t xml:space="preserve"> </w:t>
                </w:r>
                <w:r w:rsidRPr="00664658">
                  <w:rPr>
                    <w:rFonts w:ascii="Palatino Linotype" w:hAnsi="Palatino Linotype"/>
                    <w:b/>
                    <w:lang w:val="es-ES_tradnl"/>
                  </w:rPr>
                  <w:t>Abaid</w:t>
                </w:r>
                <w:r>
                  <w:rPr>
                    <w:rFonts w:ascii="Palatino Linotype" w:hAnsi="Palatino Linotype"/>
                    <w:b/>
                    <w:lang w:val="es-ES_tradnl"/>
                  </w:rPr>
                  <w:t xml:space="preserve"> </w:t>
                </w:r>
                <w:r w:rsidRPr="00664658">
                  <w:rPr>
                    <w:rFonts w:ascii="Palatino Linotype" w:hAnsi="Palatino Linotype"/>
                    <w:b/>
                    <w:lang w:val="es-ES_tradnl"/>
                  </w:rPr>
                  <w:t>Yapur</w:t>
                </w:r>
              </w:p>
            </w:tc>
          </w:tr>
        </w:tbl>
        <w:p w:rsidR="00363357" w:rsidRPr="001106EA" w:rsidRDefault="00363357" w:rsidP="005A4884">
          <w:pPr>
            <w:pStyle w:val="Encabezado"/>
            <w:ind w:left="850"/>
            <w:jc w:val="both"/>
            <w:rPr>
              <w:rFonts w:ascii="Tahoma" w:hAnsi="Tahoma" w:cs="Tahoma"/>
            </w:rPr>
          </w:pPr>
        </w:p>
      </w:tc>
    </w:tr>
    <w:tr w:rsidR="00810DFB" w:rsidRPr="001106EA" w:rsidTr="000736FA">
      <w:trPr>
        <w:trHeight w:val="304"/>
      </w:trPr>
      <w:tc>
        <w:tcPr>
          <w:tcW w:w="2547" w:type="dxa"/>
          <w:vAlign w:val="bottom"/>
        </w:tcPr>
        <w:p w:rsidR="00810DFB" w:rsidRDefault="00810DFB" w:rsidP="0077694E">
          <w:pPr>
            <w:pStyle w:val="Encabezado"/>
            <w:tabs>
              <w:tab w:val="clear" w:pos="4252"/>
              <w:tab w:val="center" w:pos="2614"/>
            </w:tabs>
            <w:ind w:left="-255"/>
            <w:rPr>
              <w:noProof/>
              <w:sz w:val="10"/>
              <w:szCs w:val="10"/>
              <w:lang w:val="es-MX" w:eastAsia="es-MX"/>
            </w:rPr>
          </w:pPr>
        </w:p>
        <w:p w:rsidR="0013161C" w:rsidRDefault="0013161C" w:rsidP="0077694E">
          <w:pPr>
            <w:pStyle w:val="Encabezado"/>
            <w:tabs>
              <w:tab w:val="clear" w:pos="4252"/>
              <w:tab w:val="center" w:pos="2614"/>
            </w:tabs>
            <w:ind w:left="-255"/>
            <w:rPr>
              <w:noProof/>
              <w:sz w:val="10"/>
              <w:szCs w:val="10"/>
              <w:lang w:val="es-MX" w:eastAsia="es-MX"/>
            </w:rPr>
          </w:pPr>
        </w:p>
        <w:p w:rsidR="0013161C" w:rsidRDefault="0013161C" w:rsidP="0077694E">
          <w:pPr>
            <w:pStyle w:val="Encabezado"/>
            <w:tabs>
              <w:tab w:val="clear" w:pos="4252"/>
              <w:tab w:val="center" w:pos="2614"/>
            </w:tabs>
            <w:ind w:left="-255"/>
            <w:rPr>
              <w:noProof/>
              <w:sz w:val="10"/>
              <w:szCs w:val="10"/>
              <w:lang w:val="es-MX" w:eastAsia="es-MX"/>
            </w:rPr>
          </w:pPr>
        </w:p>
        <w:p w:rsidR="00FD395F" w:rsidRDefault="00FD395F" w:rsidP="0077694E">
          <w:pPr>
            <w:pStyle w:val="Encabezado"/>
            <w:tabs>
              <w:tab w:val="clear" w:pos="4252"/>
              <w:tab w:val="center" w:pos="2614"/>
            </w:tabs>
            <w:ind w:left="-255"/>
            <w:rPr>
              <w:noProof/>
              <w:sz w:val="10"/>
              <w:szCs w:val="10"/>
              <w:lang w:val="es-MX" w:eastAsia="es-MX"/>
            </w:rPr>
          </w:pPr>
        </w:p>
      </w:tc>
      <w:tc>
        <w:tcPr>
          <w:tcW w:w="6520" w:type="dxa"/>
          <w:vAlign w:val="center"/>
        </w:tcPr>
        <w:p w:rsidR="00FD395F" w:rsidRPr="00FD395F" w:rsidRDefault="00FD395F" w:rsidP="00430B64">
          <w:pPr>
            <w:pStyle w:val="Encabezado"/>
            <w:ind w:right="-250"/>
            <w:jc w:val="both"/>
            <w:rPr>
              <w:rFonts w:ascii="Tahoma" w:hAnsi="Tahoma" w:cs="Tahoma"/>
              <w:sz w:val="8"/>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54C8"/>
    <w:rsid w:val="0001600D"/>
    <w:rsid w:val="00020D08"/>
    <w:rsid w:val="00023B3D"/>
    <w:rsid w:val="0002483E"/>
    <w:rsid w:val="0002627D"/>
    <w:rsid w:val="0002759D"/>
    <w:rsid w:val="000301C6"/>
    <w:rsid w:val="00032DC7"/>
    <w:rsid w:val="000466A3"/>
    <w:rsid w:val="00053DF6"/>
    <w:rsid w:val="00056BD3"/>
    <w:rsid w:val="00060F74"/>
    <w:rsid w:val="0006561A"/>
    <w:rsid w:val="000736FA"/>
    <w:rsid w:val="00085241"/>
    <w:rsid w:val="0008691F"/>
    <w:rsid w:val="00087AC8"/>
    <w:rsid w:val="0009043E"/>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27167"/>
    <w:rsid w:val="0013161C"/>
    <w:rsid w:val="00136AD8"/>
    <w:rsid w:val="0014038B"/>
    <w:rsid w:val="00140A57"/>
    <w:rsid w:val="0014736A"/>
    <w:rsid w:val="00147B9E"/>
    <w:rsid w:val="00151933"/>
    <w:rsid w:val="00161815"/>
    <w:rsid w:val="00162325"/>
    <w:rsid w:val="00164625"/>
    <w:rsid w:val="00164BFE"/>
    <w:rsid w:val="0018472D"/>
    <w:rsid w:val="00193AA8"/>
    <w:rsid w:val="00194D77"/>
    <w:rsid w:val="00197A72"/>
    <w:rsid w:val="001A145C"/>
    <w:rsid w:val="001A6BD9"/>
    <w:rsid w:val="001C1C64"/>
    <w:rsid w:val="001C363A"/>
    <w:rsid w:val="0020052A"/>
    <w:rsid w:val="00227247"/>
    <w:rsid w:val="00231B68"/>
    <w:rsid w:val="00232E55"/>
    <w:rsid w:val="00243A13"/>
    <w:rsid w:val="00246FAF"/>
    <w:rsid w:val="00273B3C"/>
    <w:rsid w:val="0028037C"/>
    <w:rsid w:val="002816CB"/>
    <w:rsid w:val="00295BA5"/>
    <w:rsid w:val="00297CF8"/>
    <w:rsid w:val="002A138B"/>
    <w:rsid w:val="002A1727"/>
    <w:rsid w:val="002A2EE7"/>
    <w:rsid w:val="002B0E4A"/>
    <w:rsid w:val="002B2877"/>
    <w:rsid w:val="002C2405"/>
    <w:rsid w:val="002C7EBD"/>
    <w:rsid w:val="002D5334"/>
    <w:rsid w:val="002E0ACC"/>
    <w:rsid w:val="002E4A9A"/>
    <w:rsid w:val="002E5A1A"/>
    <w:rsid w:val="002F08A6"/>
    <w:rsid w:val="00310E55"/>
    <w:rsid w:val="00333B7A"/>
    <w:rsid w:val="00344DD1"/>
    <w:rsid w:val="003512C9"/>
    <w:rsid w:val="00363357"/>
    <w:rsid w:val="00390188"/>
    <w:rsid w:val="003973A2"/>
    <w:rsid w:val="003A6218"/>
    <w:rsid w:val="003B5F3A"/>
    <w:rsid w:val="003B6547"/>
    <w:rsid w:val="003B7A5E"/>
    <w:rsid w:val="003C374F"/>
    <w:rsid w:val="003C72D2"/>
    <w:rsid w:val="003F2426"/>
    <w:rsid w:val="003F48C2"/>
    <w:rsid w:val="003F5DD4"/>
    <w:rsid w:val="003F7CBE"/>
    <w:rsid w:val="0040139C"/>
    <w:rsid w:val="00412CB2"/>
    <w:rsid w:val="004211BB"/>
    <w:rsid w:val="00430B64"/>
    <w:rsid w:val="00433746"/>
    <w:rsid w:val="00434B91"/>
    <w:rsid w:val="00434C88"/>
    <w:rsid w:val="00435E69"/>
    <w:rsid w:val="0044391A"/>
    <w:rsid w:val="00445038"/>
    <w:rsid w:val="004452E2"/>
    <w:rsid w:val="00445BDF"/>
    <w:rsid w:val="00447F6F"/>
    <w:rsid w:val="00450B68"/>
    <w:rsid w:val="0045695E"/>
    <w:rsid w:val="004679FE"/>
    <w:rsid w:val="00467ACB"/>
    <w:rsid w:val="00480320"/>
    <w:rsid w:val="00485822"/>
    <w:rsid w:val="00490F50"/>
    <w:rsid w:val="00495D99"/>
    <w:rsid w:val="004A3EB1"/>
    <w:rsid w:val="004A4555"/>
    <w:rsid w:val="004A555E"/>
    <w:rsid w:val="004B08C4"/>
    <w:rsid w:val="004B541F"/>
    <w:rsid w:val="004B674B"/>
    <w:rsid w:val="004C4912"/>
    <w:rsid w:val="004C6E57"/>
    <w:rsid w:val="004E4CA3"/>
    <w:rsid w:val="004E5D85"/>
    <w:rsid w:val="004E7007"/>
    <w:rsid w:val="004F0B86"/>
    <w:rsid w:val="00511E06"/>
    <w:rsid w:val="0052260F"/>
    <w:rsid w:val="00524DA5"/>
    <w:rsid w:val="00526DBD"/>
    <w:rsid w:val="00533EA5"/>
    <w:rsid w:val="00542A04"/>
    <w:rsid w:val="00543DF4"/>
    <w:rsid w:val="00544812"/>
    <w:rsid w:val="00550AA5"/>
    <w:rsid w:val="00550B20"/>
    <w:rsid w:val="00553ADE"/>
    <w:rsid w:val="0056120D"/>
    <w:rsid w:val="0056175F"/>
    <w:rsid w:val="005778ED"/>
    <w:rsid w:val="00582CCB"/>
    <w:rsid w:val="00584D73"/>
    <w:rsid w:val="0059329D"/>
    <w:rsid w:val="005A2085"/>
    <w:rsid w:val="005A2510"/>
    <w:rsid w:val="005A4884"/>
    <w:rsid w:val="005C094E"/>
    <w:rsid w:val="005C73EE"/>
    <w:rsid w:val="005D11C8"/>
    <w:rsid w:val="005E2798"/>
    <w:rsid w:val="00600164"/>
    <w:rsid w:val="00600323"/>
    <w:rsid w:val="006035DD"/>
    <w:rsid w:val="00605683"/>
    <w:rsid w:val="006248F2"/>
    <w:rsid w:val="00624DE5"/>
    <w:rsid w:val="00627F2B"/>
    <w:rsid w:val="00645087"/>
    <w:rsid w:val="00651B2B"/>
    <w:rsid w:val="00654ACD"/>
    <w:rsid w:val="00657396"/>
    <w:rsid w:val="00674E46"/>
    <w:rsid w:val="00681F01"/>
    <w:rsid w:val="00682003"/>
    <w:rsid w:val="00684B16"/>
    <w:rsid w:val="00695194"/>
    <w:rsid w:val="006B16FE"/>
    <w:rsid w:val="006B5EE0"/>
    <w:rsid w:val="006B6D1A"/>
    <w:rsid w:val="006E7407"/>
    <w:rsid w:val="006F5316"/>
    <w:rsid w:val="007071CF"/>
    <w:rsid w:val="00722FE9"/>
    <w:rsid w:val="00724F08"/>
    <w:rsid w:val="00730479"/>
    <w:rsid w:val="007378E2"/>
    <w:rsid w:val="00742A15"/>
    <w:rsid w:val="0075308D"/>
    <w:rsid w:val="0075351F"/>
    <w:rsid w:val="00763CC3"/>
    <w:rsid w:val="007721DC"/>
    <w:rsid w:val="0077694E"/>
    <w:rsid w:val="00781082"/>
    <w:rsid w:val="007849A1"/>
    <w:rsid w:val="00792848"/>
    <w:rsid w:val="007954AB"/>
    <w:rsid w:val="0079563C"/>
    <w:rsid w:val="007A1071"/>
    <w:rsid w:val="007A2D13"/>
    <w:rsid w:val="007B27AD"/>
    <w:rsid w:val="007C32AA"/>
    <w:rsid w:val="007D3257"/>
    <w:rsid w:val="007D5554"/>
    <w:rsid w:val="007E3F77"/>
    <w:rsid w:val="007F1C1D"/>
    <w:rsid w:val="007F41BF"/>
    <w:rsid w:val="007F4891"/>
    <w:rsid w:val="007F7D80"/>
    <w:rsid w:val="00802879"/>
    <w:rsid w:val="00810DFB"/>
    <w:rsid w:val="00836BC2"/>
    <w:rsid w:val="00861757"/>
    <w:rsid w:val="008629DC"/>
    <w:rsid w:val="00874170"/>
    <w:rsid w:val="00884A10"/>
    <w:rsid w:val="00891412"/>
    <w:rsid w:val="008933AC"/>
    <w:rsid w:val="0089469D"/>
    <w:rsid w:val="00897110"/>
    <w:rsid w:val="008A0447"/>
    <w:rsid w:val="008A1DE1"/>
    <w:rsid w:val="008A3DA9"/>
    <w:rsid w:val="008B08C9"/>
    <w:rsid w:val="008B1158"/>
    <w:rsid w:val="008D3FA2"/>
    <w:rsid w:val="008E54E2"/>
    <w:rsid w:val="008E7553"/>
    <w:rsid w:val="008F55D5"/>
    <w:rsid w:val="009039FE"/>
    <w:rsid w:val="00906586"/>
    <w:rsid w:val="00922B2E"/>
    <w:rsid w:val="00924A73"/>
    <w:rsid w:val="00926581"/>
    <w:rsid w:val="00927138"/>
    <w:rsid w:val="00927BD1"/>
    <w:rsid w:val="0093132B"/>
    <w:rsid w:val="00941008"/>
    <w:rsid w:val="00941847"/>
    <w:rsid w:val="00950355"/>
    <w:rsid w:val="0095470A"/>
    <w:rsid w:val="00954BF1"/>
    <w:rsid w:val="00956048"/>
    <w:rsid w:val="00962B86"/>
    <w:rsid w:val="00965DE9"/>
    <w:rsid w:val="009679E0"/>
    <w:rsid w:val="00974836"/>
    <w:rsid w:val="0099296B"/>
    <w:rsid w:val="0099308A"/>
    <w:rsid w:val="00993790"/>
    <w:rsid w:val="009943E1"/>
    <w:rsid w:val="009B22ED"/>
    <w:rsid w:val="009B2C0B"/>
    <w:rsid w:val="009B6C8D"/>
    <w:rsid w:val="009C0313"/>
    <w:rsid w:val="009C4759"/>
    <w:rsid w:val="009D07E2"/>
    <w:rsid w:val="009D49BE"/>
    <w:rsid w:val="009E0861"/>
    <w:rsid w:val="009E41F7"/>
    <w:rsid w:val="009E42B2"/>
    <w:rsid w:val="00A0224B"/>
    <w:rsid w:val="00A04399"/>
    <w:rsid w:val="00A137D5"/>
    <w:rsid w:val="00A13E40"/>
    <w:rsid w:val="00A14343"/>
    <w:rsid w:val="00A164D4"/>
    <w:rsid w:val="00A22273"/>
    <w:rsid w:val="00A30C52"/>
    <w:rsid w:val="00A364BA"/>
    <w:rsid w:val="00A451D4"/>
    <w:rsid w:val="00A4550F"/>
    <w:rsid w:val="00A462CB"/>
    <w:rsid w:val="00A5061A"/>
    <w:rsid w:val="00A54E21"/>
    <w:rsid w:val="00A56DE1"/>
    <w:rsid w:val="00A63FE9"/>
    <w:rsid w:val="00A67498"/>
    <w:rsid w:val="00A742D1"/>
    <w:rsid w:val="00A75201"/>
    <w:rsid w:val="00A87924"/>
    <w:rsid w:val="00A96933"/>
    <w:rsid w:val="00A96CE5"/>
    <w:rsid w:val="00AA090B"/>
    <w:rsid w:val="00AA261E"/>
    <w:rsid w:val="00AA38A5"/>
    <w:rsid w:val="00AC333A"/>
    <w:rsid w:val="00AD25D5"/>
    <w:rsid w:val="00AF3B6B"/>
    <w:rsid w:val="00B02CAF"/>
    <w:rsid w:val="00B036EB"/>
    <w:rsid w:val="00B15570"/>
    <w:rsid w:val="00B2355E"/>
    <w:rsid w:val="00B263C5"/>
    <w:rsid w:val="00B27BBC"/>
    <w:rsid w:val="00B30925"/>
    <w:rsid w:val="00B33A08"/>
    <w:rsid w:val="00B50C36"/>
    <w:rsid w:val="00B64EEB"/>
    <w:rsid w:val="00B67355"/>
    <w:rsid w:val="00B71740"/>
    <w:rsid w:val="00B73847"/>
    <w:rsid w:val="00B7393F"/>
    <w:rsid w:val="00B761B1"/>
    <w:rsid w:val="00B80C28"/>
    <w:rsid w:val="00B92B7E"/>
    <w:rsid w:val="00BB6EE3"/>
    <w:rsid w:val="00BC4882"/>
    <w:rsid w:val="00BC55D2"/>
    <w:rsid w:val="00BD06FC"/>
    <w:rsid w:val="00BD4705"/>
    <w:rsid w:val="00BD5DBE"/>
    <w:rsid w:val="00BE678B"/>
    <w:rsid w:val="00BF1AC9"/>
    <w:rsid w:val="00C0033F"/>
    <w:rsid w:val="00C0131C"/>
    <w:rsid w:val="00C153EC"/>
    <w:rsid w:val="00C30FD6"/>
    <w:rsid w:val="00C31FEE"/>
    <w:rsid w:val="00C50045"/>
    <w:rsid w:val="00C54C31"/>
    <w:rsid w:val="00C55FFC"/>
    <w:rsid w:val="00C75CE0"/>
    <w:rsid w:val="00C920D4"/>
    <w:rsid w:val="00CA1A18"/>
    <w:rsid w:val="00CA5A77"/>
    <w:rsid w:val="00CA7627"/>
    <w:rsid w:val="00CB0DA6"/>
    <w:rsid w:val="00CB385D"/>
    <w:rsid w:val="00CC68E1"/>
    <w:rsid w:val="00CD4339"/>
    <w:rsid w:val="00CD6D0D"/>
    <w:rsid w:val="00CD7611"/>
    <w:rsid w:val="00CD7A4B"/>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4AE5"/>
    <w:rsid w:val="00D45BDF"/>
    <w:rsid w:val="00D51426"/>
    <w:rsid w:val="00D51C81"/>
    <w:rsid w:val="00D55429"/>
    <w:rsid w:val="00D5669C"/>
    <w:rsid w:val="00D6548F"/>
    <w:rsid w:val="00D65D0C"/>
    <w:rsid w:val="00D666D4"/>
    <w:rsid w:val="00D7239D"/>
    <w:rsid w:val="00D75FAE"/>
    <w:rsid w:val="00D76EA4"/>
    <w:rsid w:val="00D77F63"/>
    <w:rsid w:val="00D81CB3"/>
    <w:rsid w:val="00D86A13"/>
    <w:rsid w:val="00D90F14"/>
    <w:rsid w:val="00D9114A"/>
    <w:rsid w:val="00D932AD"/>
    <w:rsid w:val="00DA11C0"/>
    <w:rsid w:val="00DB0B1D"/>
    <w:rsid w:val="00DD17CF"/>
    <w:rsid w:val="00DE3D57"/>
    <w:rsid w:val="00DE4452"/>
    <w:rsid w:val="00DE7D1A"/>
    <w:rsid w:val="00DF2784"/>
    <w:rsid w:val="00DF6CA0"/>
    <w:rsid w:val="00E05492"/>
    <w:rsid w:val="00E145E1"/>
    <w:rsid w:val="00E169CD"/>
    <w:rsid w:val="00E26123"/>
    <w:rsid w:val="00E34559"/>
    <w:rsid w:val="00E41481"/>
    <w:rsid w:val="00E416F8"/>
    <w:rsid w:val="00E53FEB"/>
    <w:rsid w:val="00E55BB5"/>
    <w:rsid w:val="00E656C1"/>
    <w:rsid w:val="00E70B5D"/>
    <w:rsid w:val="00E750E2"/>
    <w:rsid w:val="00E80E84"/>
    <w:rsid w:val="00E82F77"/>
    <w:rsid w:val="00E83683"/>
    <w:rsid w:val="00E910F8"/>
    <w:rsid w:val="00EA7E26"/>
    <w:rsid w:val="00EB1E40"/>
    <w:rsid w:val="00EB7128"/>
    <w:rsid w:val="00ED7D75"/>
    <w:rsid w:val="00EE29F6"/>
    <w:rsid w:val="00EE2D1A"/>
    <w:rsid w:val="00EE3972"/>
    <w:rsid w:val="00F030F8"/>
    <w:rsid w:val="00F05A41"/>
    <w:rsid w:val="00F14384"/>
    <w:rsid w:val="00F32DCC"/>
    <w:rsid w:val="00F33AAE"/>
    <w:rsid w:val="00F44957"/>
    <w:rsid w:val="00F72D12"/>
    <w:rsid w:val="00F75629"/>
    <w:rsid w:val="00F914A8"/>
    <w:rsid w:val="00F968DC"/>
    <w:rsid w:val="00FA01E7"/>
    <w:rsid w:val="00FB3044"/>
    <w:rsid w:val="00FB59D6"/>
    <w:rsid w:val="00FC1D9D"/>
    <w:rsid w:val="00FD1849"/>
    <w:rsid w:val="00FD3150"/>
    <w:rsid w:val="00FD395F"/>
    <w:rsid w:val="00FD3A6C"/>
    <w:rsid w:val="00FD530D"/>
    <w:rsid w:val="00FE4A90"/>
    <w:rsid w:val="00FF22F6"/>
    <w:rsid w:val="00FF328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76403">
      <w:bodyDiv w:val="1"/>
      <w:marLeft w:val="0"/>
      <w:marRight w:val="0"/>
      <w:marTop w:val="0"/>
      <w:marBottom w:val="0"/>
      <w:divBdr>
        <w:top w:val="none" w:sz="0" w:space="0" w:color="auto"/>
        <w:left w:val="none" w:sz="0" w:space="0" w:color="auto"/>
        <w:bottom w:val="none" w:sz="0" w:space="0" w:color="auto"/>
        <w:right w:val="none" w:sz="0" w:space="0" w:color="auto"/>
      </w:divBdr>
    </w:div>
    <w:div w:id="174941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10B9-B206-4D7D-9707-753B5C2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4</cp:revision>
  <cp:lastPrinted>2019-04-29T21:29:00Z</cp:lastPrinted>
  <dcterms:created xsi:type="dcterms:W3CDTF">2019-04-29T21:27:00Z</dcterms:created>
  <dcterms:modified xsi:type="dcterms:W3CDTF">2019-04-29T21:29:00Z</dcterms:modified>
</cp:coreProperties>
</file>